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24" w:rsidRDefault="00312324">
      <w:bookmarkStart w:name="_GoBack" w:id="0"/>
      <w:bookmarkEnd w:id="0"/>
    </w:p>
    <w:p w:rsidR="00312324" w:rsidRDefault="00312324"/>
    <w:p w:rsidR="00312324" w:rsidRDefault="00312324"/>
    <w:p w:rsidR="00312324" w:rsidRDefault="00312324"/>
    <w:p w:rsidRPr="00064558" w:rsidR="00312324" w:rsidRDefault="00064558">
      <w:pPr>
        <w:rPr>
          <w:sz w:val="36"/>
          <w:szCs w:val="36"/>
        </w:rPr>
      </w:pPr>
      <w:r>
        <w:tab/>
      </w:r>
      <w:r>
        <w:tab/>
      </w:r>
      <w:r>
        <w:tab/>
      </w:r>
      <w:r>
        <w:tab/>
      </w:r>
      <w:r>
        <w:tab/>
      </w:r>
      <w:r>
        <w:tab/>
      </w:r>
    </w:p>
    <w:p w:rsidR="00312324" w:rsidRDefault="00312324"/>
    <w:p w:rsidR="00312324" w:rsidRDefault="00312324"/>
    <w:p w:rsidR="00312324" w:rsidRDefault="00312324"/>
    <w:p w:rsidR="00312324" w:rsidRDefault="00312324"/>
    <w:p w:rsidR="00312324" w:rsidRDefault="00312324"/>
    <w:p w:rsidR="00312324" w:rsidRDefault="00312324"/>
    <w:p w:rsidR="00312324" w:rsidRDefault="00312324"/>
    <w:tbl>
      <w:tblPr>
        <w:tblW w:w="0" w:type="auto"/>
        <w:tblInd w:w="1808" w:type="dxa"/>
        <w:tblLayout w:type="fixed"/>
        <w:tblCellMar>
          <w:left w:w="107" w:type="dxa"/>
          <w:right w:w="107" w:type="dxa"/>
        </w:tblCellMar>
        <w:tblLook w:val="0000" w:firstRow="0" w:lastRow="0" w:firstColumn="0" w:lastColumn="0" w:noHBand="0" w:noVBand="0"/>
      </w:tblPr>
      <w:tblGrid>
        <w:gridCol w:w="5954"/>
      </w:tblGrid>
      <w:tr w:rsidRPr="00D02E05" w:rsidR="00312324">
        <w:tc>
          <w:tcPr>
            <w:tcW w:w="5954" w:type="dxa"/>
          </w:tcPr>
          <w:p w:rsidRPr="00D02E05" w:rsidR="0032160B" w:rsidRDefault="007B0D25">
            <w:pPr>
              <w:pStyle w:val="CoverTitle"/>
              <w:jc w:val="center"/>
              <w:rPr>
                <w:rFonts w:ascii="Verdana" w:hAnsi="Verdana" w:cs="Arial"/>
                <w:spacing w:val="-3"/>
              </w:rPr>
            </w:pPr>
            <w:bookmarkStart w:name="ClientName" w:id="1"/>
            <w:bookmarkEnd w:id="1"/>
            <w:r w:rsidRPr="00D02E05">
              <w:rPr>
                <w:rFonts w:ascii="Verdana" w:hAnsi="Verdana" w:cs="Arial"/>
                <w:b/>
                <w:spacing w:val="-3"/>
              </w:rPr>
              <w:t>Tower Hamlets</w:t>
            </w:r>
            <w:r w:rsidRPr="00D02E05" w:rsidR="0032160B">
              <w:rPr>
                <w:rFonts w:ascii="Verdana" w:hAnsi="Verdana" w:cs="Arial"/>
                <w:b/>
                <w:spacing w:val="-3"/>
              </w:rPr>
              <w:t xml:space="preserve"> Homes Limited</w:t>
            </w:r>
          </w:p>
          <w:p w:rsidRPr="00D02E05" w:rsidR="0032160B" w:rsidRDefault="0032160B">
            <w:pPr>
              <w:pStyle w:val="CoverTitle"/>
              <w:jc w:val="center"/>
              <w:rPr>
                <w:rFonts w:ascii="Verdana" w:hAnsi="Verdana" w:cs="Arial"/>
                <w:spacing w:val="-3"/>
              </w:rPr>
            </w:pPr>
          </w:p>
          <w:p w:rsidRPr="00D02E05" w:rsidR="00312324" w:rsidRDefault="00312324">
            <w:pPr>
              <w:pStyle w:val="CoverTitle"/>
              <w:jc w:val="center"/>
              <w:rPr>
                <w:rFonts w:ascii="Verdana" w:hAnsi="Verdana" w:cs="Arial"/>
                <w:spacing w:val="-3"/>
              </w:rPr>
            </w:pPr>
            <w:r w:rsidRPr="00D02E05">
              <w:rPr>
                <w:rFonts w:ascii="Verdana" w:hAnsi="Verdana" w:cs="Arial"/>
                <w:spacing w:val="-3"/>
              </w:rPr>
              <w:t xml:space="preserve">Directors’ report and financial statements for the </w:t>
            </w:r>
            <w:r w:rsidRPr="00D02E05" w:rsidR="00173A75">
              <w:rPr>
                <w:rFonts w:ascii="Verdana" w:hAnsi="Verdana" w:cs="Arial"/>
                <w:spacing w:val="-3"/>
              </w:rPr>
              <w:t>year</w:t>
            </w:r>
            <w:r w:rsidRPr="00D02E05">
              <w:rPr>
                <w:rFonts w:ascii="Verdana" w:hAnsi="Verdana" w:cs="Arial"/>
                <w:spacing w:val="-3"/>
              </w:rPr>
              <w:t xml:space="preserve"> </w:t>
            </w:r>
          </w:p>
          <w:p w:rsidRPr="00D02E05" w:rsidR="0032160B" w:rsidP="0032160B" w:rsidRDefault="0032160B">
            <w:pPr>
              <w:pStyle w:val="CoverTitle"/>
              <w:jc w:val="center"/>
              <w:rPr>
                <w:rFonts w:ascii="Verdana" w:hAnsi="Verdana" w:cs="Arial"/>
                <w:spacing w:val="-3"/>
              </w:rPr>
            </w:pPr>
            <w:r w:rsidRPr="00D02E05">
              <w:rPr>
                <w:rFonts w:ascii="Verdana" w:hAnsi="Verdana" w:cs="Arial"/>
                <w:spacing w:val="-3"/>
              </w:rPr>
              <w:t xml:space="preserve">ended </w:t>
            </w:r>
            <w:r w:rsidRPr="00C41F66">
              <w:rPr>
                <w:rFonts w:ascii="Verdana" w:hAnsi="Verdana" w:cs="Arial"/>
                <w:spacing w:val="-3"/>
              </w:rPr>
              <w:t xml:space="preserve">31 March </w:t>
            </w:r>
            <w:r w:rsidRPr="00C41F66" w:rsidR="00173A75">
              <w:rPr>
                <w:rFonts w:ascii="Verdana" w:hAnsi="Verdana" w:cs="Arial"/>
                <w:spacing w:val="-3"/>
              </w:rPr>
              <w:t>201</w:t>
            </w:r>
            <w:r w:rsidR="00BA2E1D">
              <w:rPr>
                <w:rFonts w:ascii="Verdana" w:hAnsi="Verdana" w:cs="Arial"/>
                <w:spacing w:val="-3"/>
              </w:rPr>
              <w:t>8</w:t>
            </w:r>
          </w:p>
          <w:p w:rsidRPr="00D02E05" w:rsidR="000E40EC" w:rsidP="0032160B" w:rsidRDefault="000E40EC">
            <w:pPr>
              <w:pStyle w:val="CoverTitle"/>
              <w:jc w:val="center"/>
              <w:rPr>
                <w:rFonts w:ascii="Verdana" w:hAnsi="Verdana" w:cs="Arial"/>
                <w:spacing w:val="-3"/>
              </w:rPr>
            </w:pPr>
          </w:p>
          <w:p w:rsidRPr="00D02E05" w:rsidR="00312324" w:rsidRDefault="00312324">
            <w:pPr>
              <w:pStyle w:val="CoverClientName"/>
              <w:jc w:val="center"/>
              <w:rPr>
                <w:rFonts w:ascii="Verdana" w:hAnsi="Verdana" w:cs="Arial"/>
                <w:b w:val="0"/>
                <w:sz w:val="36"/>
              </w:rPr>
            </w:pPr>
          </w:p>
        </w:tc>
      </w:tr>
      <w:tr w:rsidRPr="00D02E05" w:rsidR="00312324" w:rsidTr="00557095">
        <w:trPr>
          <w:trHeight w:val="990"/>
        </w:trPr>
        <w:tc>
          <w:tcPr>
            <w:tcW w:w="5954" w:type="dxa"/>
          </w:tcPr>
          <w:p w:rsidRPr="00D02E05" w:rsidR="00312324" w:rsidRDefault="00312324">
            <w:pPr>
              <w:pStyle w:val="CoverTitle"/>
              <w:jc w:val="center"/>
              <w:rPr>
                <w:rFonts w:ascii="Verdana" w:hAnsi="Verdana" w:cs="Arial"/>
                <w:spacing w:val="-3"/>
              </w:rPr>
            </w:pPr>
            <w:bookmarkStart w:name="TitleOfReport" w:id="2"/>
            <w:bookmarkEnd w:id="2"/>
          </w:p>
          <w:p w:rsidRPr="00D02E05" w:rsidR="00312324" w:rsidRDefault="00312324">
            <w:pPr>
              <w:pStyle w:val="CoverTitle"/>
              <w:jc w:val="center"/>
              <w:rPr>
                <w:rFonts w:ascii="Verdana" w:hAnsi="Verdana" w:cs="Arial"/>
              </w:rPr>
            </w:pPr>
            <w:r w:rsidRPr="00D02E05">
              <w:rPr>
                <w:rFonts w:ascii="Verdana" w:hAnsi="Verdana" w:cs="Arial"/>
                <w:spacing w:val="-3"/>
              </w:rPr>
              <w:t>Limited Company By Guarantee</w:t>
            </w:r>
            <w:r w:rsidRPr="00D02E05" w:rsidR="00F50789">
              <w:rPr>
                <w:rFonts w:ascii="Verdana" w:hAnsi="Verdana" w:cs="Arial"/>
                <w:spacing w:val="-3"/>
              </w:rPr>
              <w:t xml:space="preserve"> </w:t>
            </w:r>
          </w:p>
        </w:tc>
      </w:tr>
      <w:tr w:rsidRPr="00D02E05" w:rsidR="00312324">
        <w:tc>
          <w:tcPr>
            <w:tcW w:w="5954" w:type="dxa"/>
          </w:tcPr>
          <w:p w:rsidRPr="00D02E05" w:rsidR="00312324" w:rsidP="00F50789" w:rsidRDefault="00312324">
            <w:pPr>
              <w:pStyle w:val="ACText"/>
              <w:spacing w:before="0"/>
              <w:rPr>
                <w:rFonts w:ascii="Verdana" w:hAnsi="Verdana" w:cs="Arial"/>
              </w:rPr>
            </w:pPr>
            <w:bookmarkStart w:name="SubTitle" w:id="3"/>
            <w:bookmarkEnd w:id="3"/>
          </w:p>
        </w:tc>
      </w:tr>
      <w:tr w:rsidRPr="00D02E05" w:rsidR="00312324">
        <w:tc>
          <w:tcPr>
            <w:tcW w:w="5954" w:type="dxa"/>
          </w:tcPr>
          <w:p w:rsidRPr="00D02E05" w:rsidR="00312324" w:rsidRDefault="00312324">
            <w:pPr>
              <w:pStyle w:val="CoverDate"/>
              <w:rPr>
                <w:rFonts w:ascii="Verdana" w:hAnsi="Verdana" w:cs="Arial"/>
              </w:rPr>
            </w:pPr>
            <w:bookmarkStart w:name="Date" w:id="4"/>
            <w:bookmarkEnd w:id="4"/>
          </w:p>
        </w:tc>
      </w:tr>
      <w:tr w:rsidRPr="00D02E05" w:rsidR="00312324">
        <w:tc>
          <w:tcPr>
            <w:tcW w:w="5954" w:type="dxa"/>
          </w:tcPr>
          <w:p w:rsidRPr="00004C22" w:rsidR="00312324" w:rsidRDefault="00F50789">
            <w:pPr>
              <w:pStyle w:val="Single"/>
              <w:spacing w:after="0" w:line="440" w:lineRule="exact"/>
              <w:jc w:val="center"/>
              <w:rPr>
                <w:rFonts w:ascii="Verdana" w:hAnsi="Verdana" w:cs="Arial"/>
                <w:sz w:val="32"/>
                <w:u w:val="none"/>
              </w:rPr>
            </w:pPr>
            <w:r w:rsidRPr="00004C22">
              <w:rPr>
                <w:rFonts w:ascii="Verdana" w:hAnsi="Verdana" w:cs="Arial"/>
                <w:sz w:val="32"/>
                <w:szCs w:val="32"/>
                <w:u w:val="none"/>
              </w:rPr>
              <w:t>Registered number 06249790</w:t>
            </w:r>
          </w:p>
        </w:tc>
      </w:tr>
    </w:tbl>
    <w:p w:rsidR="00312324" w:rsidRDefault="00312324">
      <w:pPr>
        <w:pStyle w:val="ACText"/>
        <w:rPr>
          <w:rFonts w:ascii="Arial" w:hAnsi="Arial" w:cs="Arial"/>
        </w:rPr>
      </w:pPr>
    </w:p>
    <w:p w:rsidR="00557095" w:rsidRDefault="00557095">
      <w:pPr>
        <w:pStyle w:val="ACText"/>
        <w:rPr>
          <w:rFonts w:ascii="Arial" w:hAnsi="Arial" w:cs="Arial"/>
        </w:rPr>
      </w:pPr>
    </w:p>
    <w:p w:rsidR="00557095" w:rsidRDefault="00557095">
      <w:pPr>
        <w:pStyle w:val="ACText"/>
        <w:rPr>
          <w:rFonts w:ascii="Arial" w:hAnsi="Arial" w:cs="Arial"/>
        </w:rPr>
      </w:pPr>
    </w:p>
    <w:p w:rsidRPr="00B236D3" w:rsidR="00312324" w:rsidP="00B236D3" w:rsidRDefault="008777AE">
      <w:pPr>
        <w:pStyle w:val="ACPageHeading"/>
        <w:ind w:right="-1"/>
        <w:rPr>
          <w:rFonts w:ascii="Verdana" w:hAnsi="Verdana" w:cs="Arial"/>
        </w:rPr>
      </w:pPr>
      <w:r w:rsidRPr="00B236D3">
        <w:rPr>
          <w:rFonts w:ascii="Verdana" w:hAnsi="Verdana" w:cs="Arial"/>
        </w:rPr>
        <w:lastRenderedPageBreak/>
        <w:tab/>
      </w:r>
      <w:r w:rsidRPr="00B236D3">
        <w:rPr>
          <w:rFonts w:ascii="Verdana" w:hAnsi="Verdana" w:cs="Arial"/>
        </w:rPr>
        <w:tab/>
      </w:r>
      <w:r w:rsidRPr="00B236D3">
        <w:rPr>
          <w:rFonts w:ascii="Verdana" w:hAnsi="Verdana" w:cs="Arial"/>
        </w:rPr>
        <w:tab/>
      </w:r>
      <w:r w:rsidRPr="00B236D3">
        <w:rPr>
          <w:rFonts w:ascii="Verdana" w:hAnsi="Verdana" w:cs="Arial"/>
        </w:rPr>
        <w:tab/>
      </w:r>
      <w:r w:rsidRPr="00B236D3">
        <w:rPr>
          <w:rFonts w:ascii="Verdana" w:hAnsi="Verdana" w:cs="Arial"/>
        </w:rPr>
        <w:tab/>
      </w:r>
      <w:r w:rsidRPr="00B236D3">
        <w:rPr>
          <w:rFonts w:ascii="Verdana" w:hAnsi="Verdana" w:cs="Arial"/>
        </w:rPr>
        <w:tab/>
      </w:r>
      <w:r w:rsidRPr="00B236D3">
        <w:rPr>
          <w:rFonts w:ascii="Verdana" w:hAnsi="Verdana" w:cs="Arial"/>
        </w:rPr>
        <w:tab/>
      </w:r>
      <w:r w:rsidRPr="00B236D3">
        <w:rPr>
          <w:rFonts w:ascii="Verdana" w:hAnsi="Verdana" w:cs="Arial"/>
        </w:rPr>
        <w:tab/>
      </w:r>
      <w:r w:rsidRPr="00B236D3">
        <w:rPr>
          <w:rFonts w:ascii="Verdana" w:hAnsi="Verdana" w:cs="Arial"/>
        </w:rPr>
        <w:tab/>
      </w:r>
    </w:p>
    <w:p w:rsidRPr="00B236D3" w:rsidR="00312324" w:rsidRDefault="00312324">
      <w:pPr>
        <w:pStyle w:val="ACText"/>
        <w:rPr>
          <w:rFonts w:ascii="Verdana" w:hAnsi="Verdana" w:cs="Arial"/>
        </w:rPr>
      </w:pPr>
    </w:p>
    <w:p w:rsidR="00393497" w:rsidP="00956CCA" w:rsidRDefault="00393497">
      <w:pPr>
        <w:pStyle w:val="ACText"/>
        <w:tabs>
          <w:tab w:val="right" w:pos="9356"/>
        </w:tabs>
        <w:spacing w:before="0"/>
        <w:ind w:right="-1"/>
        <w:jc w:val="center"/>
        <w:rPr>
          <w:rFonts w:ascii="Verdana" w:hAnsi="Verdana" w:cs="Arial"/>
        </w:rPr>
      </w:pPr>
    </w:p>
    <w:p w:rsidR="00393497" w:rsidP="00956CCA" w:rsidRDefault="00393497">
      <w:pPr>
        <w:pStyle w:val="ACText"/>
        <w:tabs>
          <w:tab w:val="right" w:pos="9356"/>
        </w:tabs>
        <w:spacing w:before="0"/>
        <w:ind w:right="-1"/>
        <w:jc w:val="center"/>
        <w:rPr>
          <w:rFonts w:ascii="Verdana" w:hAnsi="Verdana" w:cs="Arial"/>
        </w:rPr>
      </w:pPr>
    </w:p>
    <w:p w:rsidR="00393497" w:rsidP="00956CCA" w:rsidRDefault="00393497">
      <w:pPr>
        <w:pStyle w:val="ACText"/>
        <w:tabs>
          <w:tab w:val="right" w:pos="9356"/>
        </w:tabs>
        <w:spacing w:before="0"/>
        <w:ind w:right="-1"/>
        <w:jc w:val="center"/>
        <w:rPr>
          <w:rFonts w:ascii="Verdana" w:hAnsi="Verdana" w:cs="Arial"/>
        </w:rPr>
      </w:pPr>
    </w:p>
    <w:p w:rsidR="00393497" w:rsidP="00956CCA" w:rsidRDefault="00393497">
      <w:pPr>
        <w:pStyle w:val="ACText"/>
        <w:tabs>
          <w:tab w:val="right" w:pos="9356"/>
        </w:tabs>
        <w:spacing w:before="0"/>
        <w:ind w:right="-1"/>
        <w:jc w:val="center"/>
        <w:rPr>
          <w:rFonts w:ascii="Verdana" w:hAnsi="Verdana" w:cs="Arial"/>
        </w:rPr>
      </w:pPr>
    </w:p>
    <w:p w:rsidR="00393497" w:rsidP="00956CCA" w:rsidRDefault="00393497">
      <w:pPr>
        <w:pStyle w:val="ACText"/>
        <w:tabs>
          <w:tab w:val="right" w:pos="9356"/>
        </w:tabs>
        <w:spacing w:before="0"/>
        <w:ind w:right="-1"/>
        <w:jc w:val="center"/>
        <w:rPr>
          <w:rFonts w:ascii="Verdana" w:hAnsi="Verdana" w:cs="Arial"/>
        </w:rPr>
      </w:pPr>
    </w:p>
    <w:p w:rsidR="00393497" w:rsidP="00956CCA" w:rsidRDefault="00393497">
      <w:pPr>
        <w:pStyle w:val="ACText"/>
        <w:tabs>
          <w:tab w:val="right" w:pos="9356"/>
        </w:tabs>
        <w:spacing w:before="0"/>
        <w:ind w:right="-1"/>
        <w:jc w:val="center"/>
        <w:rPr>
          <w:rFonts w:ascii="Verdana" w:hAnsi="Verdana" w:cs="Arial"/>
        </w:rPr>
      </w:pPr>
    </w:p>
    <w:tbl>
      <w:tblPr>
        <w:tblpPr w:leftFromText="180" w:rightFromText="180" w:vertAnchor="page" w:horzAnchor="margin" w:tblpY="4488"/>
        <w:tblW w:w="0" w:type="auto"/>
        <w:tblLook w:val="04A0" w:firstRow="1" w:lastRow="0" w:firstColumn="1" w:lastColumn="0" w:noHBand="0" w:noVBand="1"/>
      </w:tblPr>
      <w:tblGrid>
        <w:gridCol w:w="5637"/>
        <w:gridCol w:w="3934"/>
      </w:tblGrid>
      <w:tr w:rsidRPr="00E6477B" w:rsidR="00AE21E1" w:rsidTr="00D24232">
        <w:trPr>
          <w:trHeight w:val="993"/>
        </w:trPr>
        <w:tc>
          <w:tcPr>
            <w:tcW w:w="5637" w:type="dxa"/>
            <w:shd w:val="clear" w:color="auto" w:fill="auto"/>
          </w:tcPr>
          <w:p w:rsidRPr="00E6477B" w:rsidR="00AE21E1" w:rsidP="006E2980" w:rsidRDefault="00AE21E1">
            <w:pPr>
              <w:pStyle w:val="ACText"/>
              <w:tabs>
                <w:tab w:val="right" w:pos="9356"/>
              </w:tabs>
              <w:spacing w:before="0"/>
              <w:ind w:right="-1"/>
              <w:jc w:val="left"/>
              <w:rPr>
                <w:rFonts w:ascii="Verdana" w:hAnsi="Verdana" w:cs="Arial"/>
                <w:b/>
                <w:sz w:val="26"/>
                <w:szCs w:val="26"/>
              </w:rPr>
            </w:pPr>
            <w:r w:rsidRPr="00E6477B">
              <w:rPr>
                <w:rFonts w:ascii="Verdana" w:hAnsi="Verdana" w:cs="Arial"/>
                <w:b/>
                <w:sz w:val="26"/>
                <w:szCs w:val="26"/>
              </w:rPr>
              <w:t xml:space="preserve">Contents    </w:t>
            </w:r>
          </w:p>
          <w:p w:rsidRPr="00E6477B" w:rsidR="00AE21E1" w:rsidP="006E2980" w:rsidRDefault="00AE21E1">
            <w:pPr>
              <w:pStyle w:val="ACText"/>
              <w:tabs>
                <w:tab w:val="right" w:pos="9356"/>
              </w:tabs>
              <w:spacing w:before="0"/>
              <w:ind w:right="-1"/>
              <w:jc w:val="left"/>
              <w:rPr>
                <w:rFonts w:ascii="Verdana" w:hAnsi="Verdana" w:cs="Arial"/>
                <w:b/>
                <w:sz w:val="26"/>
                <w:szCs w:val="26"/>
              </w:rPr>
            </w:pPr>
          </w:p>
          <w:p w:rsidRPr="00E6477B" w:rsidR="00AE21E1" w:rsidP="006E2980" w:rsidRDefault="00AE21E1">
            <w:pPr>
              <w:pStyle w:val="ACText"/>
              <w:tabs>
                <w:tab w:val="right" w:pos="9356"/>
              </w:tabs>
              <w:spacing w:before="0"/>
              <w:ind w:right="-1"/>
              <w:jc w:val="left"/>
              <w:rPr>
                <w:rFonts w:ascii="Verdana" w:hAnsi="Verdana" w:cs="Arial"/>
              </w:rPr>
            </w:pPr>
          </w:p>
        </w:tc>
        <w:tc>
          <w:tcPr>
            <w:tcW w:w="3934" w:type="dxa"/>
            <w:shd w:val="clear" w:color="auto" w:fill="auto"/>
          </w:tcPr>
          <w:p w:rsidRPr="00E6477B" w:rsidR="00AE21E1" w:rsidP="006E2980" w:rsidRDefault="00AE21E1">
            <w:pPr>
              <w:pStyle w:val="ACText"/>
              <w:tabs>
                <w:tab w:val="right" w:pos="9356"/>
              </w:tabs>
              <w:spacing w:before="0"/>
              <w:ind w:right="-1"/>
              <w:jc w:val="right"/>
              <w:rPr>
                <w:rFonts w:ascii="Verdana" w:hAnsi="Verdana" w:cs="Arial"/>
              </w:rPr>
            </w:pPr>
            <w:r w:rsidRPr="00E6477B">
              <w:rPr>
                <w:rFonts w:ascii="Verdana" w:hAnsi="Verdana" w:cs="Arial"/>
                <w:b/>
                <w:sz w:val="26"/>
                <w:szCs w:val="26"/>
              </w:rPr>
              <w:t>Page</w:t>
            </w:r>
          </w:p>
        </w:tc>
      </w:tr>
      <w:tr w:rsidRPr="00E6477B" w:rsidR="00AE21E1" w:rsidTr="006E2980">
        <w:tc>
          <w:tcPr>
            <w:tcW w:w="5637" w:type="dxa"/>
            <w:shd w:val="clear" w:color="auto" w:fill="auto"/>
          </w:tcPr>
          <w:p w:rsidRPr="00E6477B" w:rsidR="00AE21E1" w:rsidP="006E2980" w:rsidRDefault="00AE21E1">
            <w:pPr>
              <w:pStyle w:val="ACText"/>
              <w:tabs>
                <w:tab w:val="right" w:pos="9356"/>
              </w:tabs>
              <w:spacing w:before="0"/>
              <w:ind w:right="-1"/>
              <w:jc w:val="left"/>
              <w:rPr>
                <w:rFonts w:ascii="Verdana" w:hAnsi="Verdana" w:cs="Arial"/>
              </w:rPr>
            </w:pPr>
            <w:r w:rsidRPr="00E6477B">
              <w:rPr>
                <w:rFonts w:ascii="Verdana" w:hAnsi="Verdana" w:cs="Arial"/>
              </w:rPr>
              <w:t>Company information</w:t>
            </w:r>
          </w:p>
          <w:p w:rsidRPr="00E6477B" w:rsidR="00AE21E1" w:rsidP="006E2980" w:rsidRDefault="00AE21E1">
            <w:pPr>
              <w:pStyle w:val="ACText"/>
              <w:tabs>
                <w:tab w:val="right" w:pos="9356"/>
              </w:tabs>
              <w:spacing w:before="0"/>
              <w:ind w:right="-1"/>
              <w:jc w:val="left"/>
              <w:rPr>
                <w:rFonts w:ascii="Verdana" w:hAnsi="Verdana" w:cs="Arial"/>
              </w:rPr>
            </w:pPr>
          </w:p>
        </w:tc>
        <w:tc>
          <w:tcPr>
            <w:tcW w:w="3934" w:type="dxa"/>
            <w:shd w:val="clear" w:color="auto" w:fill="auto"/>
          </w:tcPr>
          <w:p w:rsidRPr="00E6477B" w:rsidR="00AE21E1" w:rsidP="006E2980" w:rsidRDefault="00AE21E1">
            <w:pPr>
              <w:pStyle w:val="ACText"/>
              <w:tabs>
                <w:tab w:val="right" w:pos="9356"/>
              </w:tabs>
              <w:spacing w:before="0"/>
              <w:ind w:right="-1"/>
              <w:jc w:val="right"/>
              <w:rPr>
                <w:rFonts w:ascii="Verdana" w:hAnsi="Verdana" w:cs="Arial"/>
              </w:rPr>
            </w:pPr>
            <w:r w:rsidRPr="00E6477B">
              <w:rPr>
                <w:rFonts w:ascii="Verdana" w:hAnsi="Verdana" w:cs="Arial"/>
              </w:rPr>
              <w:t>3 - 4</w:t>
            </w:r>
          </w:p>
        </w:tc>
      </w:tr>
      <w:tr w:rsidRPr="00E6477B" w:rsidR="00AE21E1" w:rsidTr="006E2980">
        <w:tc>
          <w:tcPr>
            <w:tcW w:w="5637" w:type="dxa"/>
            <w:shd w:val="clear" w:color="auto" w:fill="auto"/>
          </w:tcPr>
          <w:p w:rsidRPr="00E6477B" w:rsidR="00AE21E1" w:rsidP="006E2980" w:rsidRDefault="00AE21E1">
            <w:pPr>
              <w:pStyle w:val="ACText"/>
              <w:tabs>
                <w:tab w:val="right" w:pos="9356"/>
              </w:tabs>
              <w:spacing w:before="0"/>
              <w:ind w:right="-1"/>
              <w:jc w:val="left"/>
              <w:rPr>
                <w:rFonts w:ascii="Verdana" w:hAnsi="Verdana" w:cs="Arial"/>
              </w:rPr>
            </w:pPr>
            <w:r w:rsidRPr="00E6477B">
              <w:rPr>
                <w:rFonts w:ascii="Verdana" w:hAnsi="Verdana" w:cs="Arial"/>
              </w:rPr>
              <w:t>Directors’ Report</w:t>
            </w:r>
          </w:p>
          <w:p w:rsidRPr="00E6477B" w:rsidR="00AE21E1" w:rsidP="006E2980" w:rsidRDefault="00AE21E1">
            <w:pPr>
              <w:pStyle w:val="ACText"/>
              <w:tabs>
                <w:tab w:val="right" w:pos="9356"/>
              </w:tabs>
              <w:spacing w:before="0"/>
              <w:ind w:right="-1"/>
              <w:jc w:val="left"/>
              <w:rPr>
                <w:rFonts w:ascii="Verdana" w:hAnsi="Verdana" w:cs="Arial"/>
              </w:rPr>
            </w:pPr>
          </w:p>
        </w:tc>
        <w:tc>
          <w:tcPr>
            <w:tcW w:w="3934" w:type="dxa"/>
            <w:shd w:val="clear" w:color="auto" w:fill="auto"/>
          </w:tcPr>
          <w:p w:rsidRPr="00E6477B" w:rsidR="00AE21E1" w:rsidP="006E2980" w:rsidRDefault="00AE21E1">
            <w:pPr>
              <w:pStyle w:val="ACText"/>
              <w:tabs>
                <w:tab w:val="right" w:pos="9356"/>
              </w:tabs>
              <w:spacing w:before="0"/>
              <w:ind w:right="-1"/>
              <w:jc w:val="right"/>
              <w:rPr>
                <w:rFonts w:ascii="Verdana" w:hAnsi="Verdana" w:cs="Arial"/>
              </w:rPr>
            </w:pPr>
            <w:r w:rsidRPr="00E6477B">
              <w:rPr>
                <w:rFonts w:ascii="Verdana" w:hAnsi="Verdana" w:cs="Arial"/>
              </w:rPr>
              <w:t>5 – 6</w:t>
            </w:r>
          </w:p>
        </w:tc>
      </w:tr>
      <w:tr w:rsidRPr="00E6477B" w:rsidR="00AE21E1" w:rsidTr="006E2980">
        <w:tc>
          <w:tcPr>
            <w:tcW w:w="5637" w:type="dxa"/>
            <w:shd w:val="clear" w:color="auto" w:fill="auto"/>
          </w:tcPr>
          <w:p w:rsidRPr="00E6477B" w:rsidR="00AE21E1" w:rsidP="006E2980" w:rsidRDefault="00AE21E1">
            <w:pPr>
              <w:pStyle w:val="ACText"/>
              <w:tabs>
                <w:tab w:val="right" w:pos="9356"/>
              </w:tabs>
              <w:spacing w:before="0"/>
              <w:ind w:right="-1"/>
              <w:jc w:val="left"/>
              <w:rPr>
                <w:rFonts w:ascii="Verdana" w:hAnsi="Verdana" w:cs="Arial"/>
              </w:rPr>
            </w:pPr>
            <w:r w:rsidRPr="00E6477B">
              <w:rPr>
                <w:rFonts w:ascii="Verdana" w:hAnsi="Verdana" w:cs="Arial"/>
              </w:rPr>
              <w:t>Strategic Report</w:t>
            </w:r>
          </w:p>
          <w:p w:rsidRPr="00E6477B" w:rsidR="00AE21E1" w:rsidP="006E2980" w:rsidRDefault="00AE21E1">
            <w:pPr>
              <w:pStyle w:val="ACText"/>
              <w:tabs>
                <w:tab w:val="right" w:pos="9356"/>
              </w:tabs>
              <w:spacing w:before="0"/>
              <w:ind w:right="-1"/>
              <w:jc w:val="left"/>
              <w:rPr>
                <w:rFonts w:ascii="Verdana" w:hAnsi="Verdana" w:cs="Arial"/>
              </w:rPr>
            </w:pPr>
          </w:p>
        </w:tc>
        <w:tc>
          <w:tcPr>
            <w:tcW w:w="3934" w:type="dxa"/>
            <w:shd w:val="clear" w:color="auto" w:fill="auto"/>
          </w:tcPr>
          <w:p w:rsidRPr="00E6477B" w:rsidR="00AE21E1" w:rsidP="0039058A" w:rsidRDefault="00B513FF">
            <w:pPr>
              <w:pStyle w:val="ACText"/>
              <w:tabs>
                <w:tab w:val="right" w:pos="9356"/>
              </w:tabs>
              <w:spacing w:before="0"/>
              <w:ind w:right="-1"/>
              <w:jc w:val="right"/>
              <w:rPr>
                <w:rFonts w:ascii="Verdana" w:hAnsi="Verdana" w:cs="Arial"/>
              </w:rPr>
            </w:pPr>
            <w:r>
              <w:rPr>
                <w:rFonts w:ascii="Verdana" w:hAnsi="Verdana" w:cs="Arial"/>
              </w:rPr>
              <w:t>7</w:t>
            </w:r>
          </w:p>
        </w:tc>
      </w:tr>
      <w:tr w:rsidRPr="00E6477B" w:rsidR="00AE21E1" w:rsidTr="006E2980">
        <w:tc>
          <w:tcPr>
            <w:tcW w:w="5637" w:type="dxa"/>
            <w:shd w:val="clear" w:color="auto" w:fill="auto"/>
          </w:tcPr>
          <w:p w:rsidRPr="00E6477B" w:rsidR="00AE21E1" w:rsidP="006E2980" w:rsidRDefault="00AE21E1">
            <w:pPr>
              <w:pStyle w:val="ACText"/>
              <w:tabs>
                <w:tab w:val="right" w:pos="9356"/>
              </w:tabs>
              <w:spacing w:before="0"/>
              <w:ind w:right="-1"/>
              <w:jc w:val="left"/>
              <w:rPr>
                <w:rFonts w:ascii="Verdana" w:hAnsi="Verdana" w:cs="Arial"/>
              </w:rPr>
            </w:pPr>
            <w:r w:rsidRPr="00E6477B">
              <w:rPr>
                <w:rFonts w:ascii="Verdana" w:hAnsi="Verdana" w:cs="Arial"/>
              </w:rPr>
              <w:t>Statement of Internal Control</w:t>
            </w:r>
          </w:p>
          <w:p w:rsidRPr="00E6477B" w:rsidR="00AE21E1" w:rsidP="006E2980" w:rsidRDefault="00AE21E1">
            <w:pPr>
              <w:pStyle w:val="ACText"/>
              <w:tabs>
                <w:tab w:val="right" w:pos="9356"/>
              </w:tabs>
              <w:spacing w:before="0"/>
              <w:ind w:right="-1"/>
              <w:jc w:val="left"/>
              <w:rPr>
                <w:rFonts w:ascii="Verdana" w:hAnsi="Verdana" w:cs="Arial"/>
              </w:rPr>
            </w:pPr>
          </w:p>
        </w:tc>
        <w:tc>
          <w:tcPr>
            <w:tcW w:w="3934" w:type="dxa"/>
            <w:shd w:val="clear" w:color="auto" w:fill="auto"/>
          </w:tcPr>
          <w:p w:rsidRPr="00E6477B" w:rsidR="00AE21E1" w:rsidP="0039058A" w:rsidRDefault="00E6477B">
            <w:pPr>
              <w:pStyle w:val="ACText"/>
              <w:tabs>
                <w:tab w:val="right" w:pos="9356"/>
              </w:tabs>
              <w:spacing w:before="0"/>
              <w:ind w:right="-1"/>
              <w:jc w:val="right"/>
              <w:rPr>
                <w:rFonts w:ascii="Verdana" w:hAnsi="Verdana" w:cs="Arial"/>
              </w:rPr>
            </w:pPr>
            <w:r w:rsidRPr="00E6477B">
              <w:rPr>
                <w:rFonts w:ascii="Verdana" w:hAnsi="Verdana" w:cs="Arial"/>
              </w:rPr>
              <w:t>9-10</w:t>
            </w:r>
          </w:p>
        </w:tc>
      </w:tr>
      <w:tr w:rsidRPr="00E6477B" w:rsidR="00AE21E1" w:rsidTr="006E2980">
        <w:tc>
          <w:tcPr>
            <w:tcW w:w="5637" w:type="dxa"/>
            <w:shd w:val="clear" w:color="auto" w:fill="auto"/>
          </w:tcPr>
          <w:p w:rsidRPr="00E6477B" w:rsidR="00AE21E1" w:rsidP="006E2980" w:rsidRDefault="00AE21E1">
            <w:pPr>
              <w:pStyle w:val="ACText"/>
              <w:tabs>
                <w:tab w:val="right" w:pos="9356"/>
              </w:tabs>
              <w:spacing w:before="0"/>
              <w:ind w:right="-1"/>
              <w:jc w:val="left"/>
              <w:rPr>
                <w:rFonts w:ascii="Verdana" w:hAnsi="Verdana" w:cs="Arial"/>
              </w:rPr>
            </w:pPr>
            <w:r w:rsidRPr="00E6477B">
              <w:rPr>
                <w:rFonts w:ascii="Verdana" w:hAnsi="Verdana" w:cs="Arial"/>
              </w:rPr>
              <w:t xml:space="preserve">Statement of directors’ responsibilities   </w:t>
            </w:r>
          </w:p>
          <w:p w:rsidRPr="00E6477B" w:rsidR="00AE21E1" w:rsidP="006E2980" w:rsidRDefault="00AE21E1">
            <w:pPr>
              <w:pStyle w:val="ACText"/>
              <w:tabs>
                <w:tab w:val="right" w:pos="9356"/>
              </w:tabs>
              <w:spacing w:before="0"/>
              <w:ind w:right="-1"/>
              <w:jc w:val="left"/>
              <w:rPr>
                <w:rFonts w:ascii="Verdana" w:hAnsi="Verdana" w:cs="Arial"/>
              </w:rPr>
            </w:pPr>
            <w:r w:rsidRPr="00E6477B">
              <w:rPr>
                <w:rFonts w:ascii="Verdana" w:hAnsi="Verdana" w:cs="Arial"/>
              </w:rPr>
              <w:t xml:space="preserve">            </w:t>
            </w:r>
          </w:p>
        </w:tc>
        <w:tc>
          <w:tcPr>
            <w:tcW w:w="3934" w:type="dxa"/>
            <w:shd w:val="clear" w:color="auto" w:fill="auto"/>
          </w:tcPr>
          <w:p w:rsidRPr="00E6477B" w:rsidR="00AE21E1" w:rsidP="00E6477B" w:rsidRDefault="00AE21E1">
            <w:pPr>
              <w:pStyle w:val="ACText"/>
              <w:tabs>
                <w:tab w:val="right" w:pos="9356"/>
              </w:tabs>
              <w:spacing w:before="0"/>
              <w:ind w:right="-1"/>
              <w:jc w:val="right"/>
              <w:rPr>
                <w:rFonts w:ascii="Verdana" w:hAnsi="Verdana" w:cs="Arial"/>
              </w:rPr>
            </w:pPr>
            <w:r w:rsidRPr="00E6477B">
              <w:rPr>
                <w:rFonts w:ascii="Verdana" w:hAnsi="Verdana" w:cs="Arial"/>
              </w:rPr>
              <w:t>1</w:t>
            </w:r>
            <w:r w:rsidRPr="00E6477B" w:rsidR="00E6477B">
              <w:rPr>
                <w:rFonts w:ascii="Verdana" w:hAnsi="Verdana" w:cs="Arial"/>
              </w:rPr>
              <w:t>1</w:t>
            </w:r>
          </w:p>
        </w:tc>
      </w:tr>
      <w:tr w:rsidRPr="00E6477B" w:rsidR="00AE21E1" w:rsidTr="006E2980">
        <w:tc>
          <w:tcPr>
            <w:tcW w:w="5637" w:type="dxa"/>
            <w:shd w:val="clear" w:color="auto" w:fill="auto"/>
          </w:tcPr>
          <w:p w:rsidRPr="00E6477B" w:rsidR="00AE21E1" w:rsidP="006E2980" w:rsidRDefault="00AE21E1">
            <w:pPr>
              <w:pStyle w:val="ACText"/>
              <w:tabs>
                <w:tab w:val="right" w:pos="9356"/>
              </w:tabs>
              <w:spacing w:before="0"/>
              <w:ind w:right="-1"/>
              <w:jc w:val="left"/>
              <w:rPr>
                <w:rFonts w:ascii="Verdana" w:hAnsi="Verdana" w:cs="Arial"/>
              </w:rPr>
            </w:pPr>
            <w:r w:rsidRPr="00E6477B">
              <w:rPr>
                <w:rFonts w:ascii="Verdana" w:hAnsi="Verdana" w:cs="Arial"/>
              </w:rPr>
              <w:t>Report of the independent auditors to the members of Tower Hamlets Homes Limited</w:t>
            </w:r>
          </w:p>
          <w:p w:rsidRPr="00E6477B" w:rsidR="00AE21E1" w:rsidP="006E2980" w:rsidRDefault="00AE21E1">
            <w:pPr>
              <w:pStyle w:val="ACText"/>
              <w:tabs>
                <w:tab w:val="right" w:pos="9356"/>
              </w:tabs>
              <w:spacing w:before="0"/>
              <w:ind w:right="-1"/>
              <w:jc w:val="left"/>
              <w:rPr>
                <w:rFonts w:ascii="Verdana" w:hAnsi="Verdana" w:cs="Arial"/>
              </w:rPr>
            </w:pPr>
          </w:p>
        </w:tc>
        <w:tc>
          <w:tcPr>
            <w:tcW w:w="3934" w:type="dxa"/>
            <w:shd w:val="clear" w:color="auto" w:fill="auto"/>
          </w:tcPr>
          <w:p w:rsidRPr="00E6477B" w:rsidR="00AE21E1" w:rsidP="006E2980" w:rsidRDefault="00AE21E1">
            <w:pPr>
              <w:pStyle w:val="ACText"/>
              <w:tabs>
                <w:tab w:val="right" w:pos="9356"/>
              </w:tabs>
              <w:spacing w:before="0"/>
              <w:ind w:right="-1"/>
              <w:jc w:val="right"/>
              <w:rPr>
                <w:rFonts w:ascii="Verdana" w:hAnsi="Verdana" w:cs="Arial"/>
              </w:rPr>
            </w:pPr>
          </w:p>
          <w:p w:rsidRPr="00E6477B" w:rsidR="00AE21E1" w:rsidP="0039058A" w:rsidRDefault="00E6477B">
            <w:pPr>
              <w:pStyle w:val="ACText"/>
              <w:tabs>
                <w:tab w:val="right" w:pos="9356"/>
              </w:tabs>
              <w:spacing w:before="0"/>
              <w:ind w:right="-1"/>
              <w:jc w:val="right"/>
              <w:rPr>
                <w:rFonts w:ascii="Verdana" w:hAnsi="Verdana" w:cs="Arial"/>
              </w:rPr>
            </w:pPr>
            <w:r w:rsidRPr="00E6477B">
              <w:rPr>
                <w:rFonts w:ascii="Verdana" w:hAnsi="Verdana" w:cs="Arial"/>
              </w:rPr>
              <w:t>12-13</w:t>
            </w:r>
          </w:p>
        </w:tc>
      </w:tr>
      <w:tr w:rsidRPr="00E6477B" w:rsidR="00AE21E1" w:rsidTr="006E2980">
        <w:tc>
          <w:tcPr>
            <w:tcW w:w="5637" w:type="dxa"/>
            <w:shd w:val="clear" w:color="auto" w:fill="auto"/>
          </w:tcPr>
          <w:p w:rsidRPr="00E6477B" w:rsidR="00AE21E1" w:rsidP="006E2980" w:rsidRDefault="00A75974">
            <w:pPr>
              <w:pStyle w:val="ACText"/>
              <w:tabs>
                <w:tab w:val="right" w:pos="9356"/>
              </w:tabs>
              <w:spacing w:before="0"/>
              <w:ind w:right="-1"/>
              <w:jc w:val="left"/>
              <w:rPr>
                <w:rFonts w:ascii="Verdana" w:hAnsi="Verdana" w:cs="Arial"/>
              </w:rPr>
            </w:pPr>
            <w:r w:rsidRPr="00E6477B">
              <w:rPr>
                <w:rFonts w:ascii="Verdana" w:hAnsi="Verdana" w:cs="Arial"/>
              </w:rPr>
              <w:t>Statement of Comprehensive Income</w:t>
            </w:r>
          </w:p>
          <w:p w:rsidRPr="00E6477B" w:rsidR="00AE21E1" w:rsidP="006E2980" w:rsidRDefault="00AE21E1">
            <w:pPr>
              <w:pStyle w:val="ACText"/>
              <w:tabs>
                <w:tab w:val="right" w:pos="9356"/>
              </w:tabs>
              <w:spacing w:before="0"/>
              <w:ind w:right="-1"/>
              <w:jc w:val="left"/>
              <w:rPr>
                <w:rFonts w:ascii="Verdana" w:hAnsi="Verdana" w:cs="Arial"/>
              </w:rPr>
            </w:pPr>
          </w:p>
        </w:tc>
        <w:tc>
          <w:tcPr>
            <w:tcW w:w="3934" w:type="dxa"/>
            <w:shd w:val="clear" w:color="auto" w:fill="auto"/>
          </w:tcPr>
          <w:p w:rsidRPr="00E6477B" w:rsidR="00AE21E1" w:rsidP="00E6477B" w:rsidRDefault="00AE21E1">
            <w:pPr>
              <w:pStyle w:val="ACText"/>
              <w:tabs>
                <w:tab w:val="right" w:pos="9356"/>
              </w:tabs>
              <w:spacing w:before="0"/>
              <w:ind w:right="-1"/>
              <w:jc w:val="right"/>
              <w:rPr>
                <w:rFonts w:ascii="Verdana" w:hAnsi="Verdana" w:cs="Arial"/>
              </w:rPr>
            </w:pPr>
            <w:r w:rsidRPr="00E6477B">
              <w:rPr>
                <w:rFonts w:ascii="Verdana" w:hAnsi="Verdana" w:cs="Arial"/>
              </w:rPr>
              <w:t>1</w:t>
            </w:r>
            <w:r w:rsidRPr="00E6477B" w:rsidR="00E6477B">
              <w:rPr>
                <w:rFonts w:ascii="Verdana" w:hAnsi="Verdana" w:cs="Arial"/>
              </w:rPr>
              <w:t>4</w:t>
            </w:r>
          </w:p>
        </w:tc>
      </w:tr>
      <w:tr w:rsidRPr="00E6477B" w:rsidR="00AE21E1" w:rsidTr="006E2980">
        <w:tc>
          <w:tcPr>
            <w:tcW w:w="5637" w:type="dxa"/>
            <w:shd w:val="clear" w:color="auto" w:fill="auto"/>
          </w:tcPr>
          <w:p w:rsidRPr="00E6477B" w:rsidR="00AE21E1" w:rsidP="006E2980" w:rsidRDefault="00A75974">
            <w:pPr>
              <w:pStyle w:val="ACText"/>
              <w:tabs>
                <w:tab w:val="right" w:pos="9356"/>
              </w:tabs>
              <w:spacing w:before="0"/>
              <w:ind w:right="-1"/>
              <w:jc w:val="left"/>
              <w:rPr>
                <w:rFonts w:ascii="Verdana" w:hAnsi="Verdana" w:cs="Arial"/>
              </w:rPr>
            </w:pPr>
            <w:r w:rsidRPr="00E6477B">
              <w:rPr>
                <w:rFonts w:ascii="Verdana" w:hAnsi="Verdana" w:cs="Arial"/>
              </w:rPr>
              <w:t>Statement of Financial Position</w:t>
            </w:r>
          </w:p>
          <w:p w:rsidRPr="00E6477B" w:rsidR="00AE21E1" w:rsidP="006E2980" w:rsidRDefault="00AE21E1">
            <w:pPr>
              <w:pStyle w:val="ACText"/>
              <w:tabs>
                <w:tab w:val="right" w:pos="9356"/>
              </w:tabs>
              <w:spacing w:before="0"/>
              <w:ind w:right="-1"/>
              <w:jc w:val="left"/>
              <w:rPr>
                <w:rFonts w:ascii="Verdana" w:hAnsi="Verdana" w:cs="Arial"/>
              </w:rPr>
            </w:pPr>
          </w:p>
        </w:tc>
        <w:tc>
          <w:tcPr>
            <w:tcW w:w="3934" w:type="dxa"/>
            <w:shd w:val="clear" w:color="auto" w:fill="auto"/>
          </w:tcPr>
          <w:p w:rsidRPr="00E6477B" w:rsidR="00AE21E1" w:rsidP="0039058A" w:rsidRDefault="00AE21E1">
            <w:pPr>
              <w:pStyle w:val="ACText"/>
              <w:tabs>
                <w:tab w:val="right" w:pos="9356"/>
              </w:tabs>
              <w:spacing w:before="0"/>
              <w:ind w:right="-1"/>
              <w:jc w:val="right"/>
              <w:rPr>
                <w:rFonts w:ascii="Verdana" w:hAnsi="Verdana" w:cs="Arial"/>
              </w:rPr>
            </w:pPr>
            <w:r w:rsidRPr="00E6477B">
              <w:rPr>
                <w:rFonts w:ascii="Verdana" w:hAnsi="Verdana" w:cs="Arial"/>
              </w:rPr>
              <w:t>1</w:t>
            </w:r>
            <w:r w:rsidRPr="00E6477B" w:rsidR="00E6477B">
              <w:rPr>
                <w:rFonts w:ascii="Verdana" w:hAnsi="Verdana" w:cs="Arial"/>
              </w:rPr>
              <w:t>5</w:t>
            </w:r>
          </w:p>
        </w:tc>
      </w:tr>
      <w:tr w:rsidRPr="00E6477B" w:rsidR="00AE21E1" w:rsidTr="006E2980">
        <w:tc>
          <w:tcPr>
            <w:tcW w:w="5637" w:type="dxa"/>
            <w:shd w:val="clear" w:color="auto" w:fill="auto"/>
          </w:tcPr>
          <w:p w:rsidRPr="00E6477B" w:rsidR="00AE21E1" w:rsidP="006E2980" w:rsidRDefault="00A75974">
            <w:pPr>
              <w:pStyle w:val="ACText"/>
              <w:tabs>
                <w:tab w:val="right" w:pos="9356"/>
              </w:tabs>
              <w:spacing w:before="0"/>
              <w:ind w:right="-1"/>
              <w:jc w:val="left"/>
              <w:rPr>
                <w:rFonts w:ascii="Verdana" w:hAnsi="Verdana" w:cs="Arial"/>
              </w:rPr>
            </w:pPr>
            <w:r w:rsidRPr="00E6477B">
              <w:rPr>
                <w:rFonts w:ascii="Verdana" w:hAnsi="Verdana" w:cs="Arial"/>
              </w:rPr>
              <w:t xml:space="preserve">Statement of </w:t>
            </w:r>
            <w:r w:rsidRPr="00E6477B" w:rsidR="005F3410">
              <w:rPr>
                <w:rFonts w:ascii="Verdana" w:hAnsi="Verdana" w:cs="Arial"/>
              </w:rPr>
              <w:t>Cash F</w:t>
            </w:r>
            <w:r w:rsidRPr="00E6477B">
              <w:rPr>
                <w:rFonts w:ascii="Verdana" w:hAnsi="Verdana" w:cs="Arial"/>
              </w:rPr>
              <w:t>lows</w:t>
            </w:r>
          </w:p>
          <w:p w:rsidRPr="00E6477B" w:rsidR="00AE21E1" w:rsidP="006E2980" w:rsidRDefault="00AE21E1">
            <w:pPr>
              <w:pStyle w:val="ACText"/>
              <w:tabs>
                <w:tab w:val="right" w:pos="9356"/>
              </w:tabs>
              <w:spacing w:before="0"/>
              <w:ind w:right="-1"/>
              <w:jc w:val="left"/>
              <w:rPr>
                <w:rFonts w:ascii="Verdana" w:hAnsi="Verdana" w:cs="Arial"/>
              </w:rPr>
            </w:pPr>
          </w:p>
        </w:tc>
        <w:tc>
          <w:tcPr>
            <w:tcW w:w="3934" w:type="dxa"/>
            <w:shd w:val="clear" w:color="auto" w:fill="auto"/>
          </w:tcPr>
          <w:p w:rsidRPr="00E6477B" w:rsidR="00AE21E1" w:rsidP="0039058A" w:rsidRDefault="00AE21E1">
            <w:pPr>
              <w:pStyle w:val="ACText"/>
              <w:tabs>
                <w:tab w:val="right" w:pos="9356"/>
              </w:tabs>
              <w:spacing w:before="0"/>
              <w:ind w:right="-1"/>
              <w:jc w:val="right"/>
              <w:rPr>
                <w:rFonts w:ascii="Verdana" w:hAnsi="Verdana" w:cs="Arial"/>
              </w:rPr>
            </w:pPr>
            <w:r w:rsidRPr="00E6477B">
              <w:rPr>
                <w:rFonts w:ascii="Verdana" w:hAnsi="Verdana" w:cs="Arial"/>
              </w:rPr>
              <w:t>1</w:t>
            </w:r>
            <w:r w:rsidRPr="00E6477B" w:rsidR="00E6477B">
              <w:rPr>
                <w:rFonts w:ascii="Verdana" w:hAnsi="Verdana" w:cs="Arial"/>
              </w:rPr>
              <w:t>6</w:t>
            </w:r>
          </w:p>
        </w:tc>
      </w:tr>
      <w:tr w:rsidRPr="00E6477B" w:rsidR="005F3410" w:rsidTr="006E2980">
        <w:tc>
          <w:tcPr>
            <w:tcW w:w="5637" w:type="dxa"/>
            <w:shd w:val="clear" w:color="auto" w:fill="auto"/>
          </w:tcPr>
          <w:p w:rsidRPr="00E6477B" w:rsidR="005F3410" w:rsidP="006E2980" w:rsidRDefault="005F3410">
            <w:pPr>
              <w:pStyle w:val="ACText"/>
              <w:tabs>
                <w:tab w:val="right" w:pos="9356"/>
              </w:tabs>
              <w:spacing w:before="0"/>
              <w:ind w:right="-1"/>
              <w:jc w:val="left"/>
              <w:rPr>
                <w:rFonts w:ascii="Verdana" w:hAnsi="Verdana" w:cs="Arial"/>
              </w:rPr>
            </w:pPr>
            <w:r w:rsidRPr="00E6477B">
              <w:rPr>
                <w:rFonts w:ascii="Verdana" w:hAnsi="Verdana" w:cs="Arial"/>
              </w:rPr>
              <w:t>Statement of Changes in Equity</w:t>
            </w:r>
          </w:p>
          <w:p w:rsidRPr="00E6477B" w:rsidR="005F3410" w:rsidP="006E2980" w:rsidRDefault="005F3410">
            <w:pPr>
              <w:pStyle w:val="ACText"/>
              <w:tabs>
                <w:tab w:val="right" w:pos="9356"/>
              </w:tabs>
              <w:spacing w:before="0"/>
              <w:ind w:right="-1"/>
              <w:jc w:val="left"/>
              <w:rPr>
                <w:rFonts w:ascii="Verdana" w:hAnsi="Verdana" w:cs="Arial"/>
              </w:rPr>
            </w:pPr>
          </w:p>
        </w:tc>
        <w:tc>
          <w:tcPr>
            <w:tcW w:w="3934" w:type="dxa"/>
            <w:shd w:val="clear" w:color="auto" w:fill="auto"/>
          </w:tcPr>
          <w:p w:rsidRPr="00E6477B" w:rsidR="005F3410" w:rsidP="0039058A" w:rsidRDefault="005F3410">
            <w:pPr>
              <w:pStyle w:val="ACText"/>
              <w:tabs>
                <w:tab w:val="right" w:pos="9356"/>
              </w:tabs>
              <w:spacing w:before="0"/>
              <w:ind w:right="-1"/>
              <w:jc w:val="right"/>
              <w:rPr>
                <w:rFonts w:ascii="Verdana" w:hAnsi="Verdana" w:cs="Arial"/>
              </w:rPr>
            </w:pPr>
            <w:r w:rsidRPr="00E6477B">
              <w:rPr>
                <w:rFonts w:ascii="Verdana" w:hAnsi="Verdana" w:cs="Arial"/>
              </w:rPr>
              <w:t>1</w:t>
            </w:r>
            <w:r w:rsidRPr="00E6477B" w:rsidR="00E6477B">
              <w:rPr>
                <w:rFonts w:ascii="Verdana" w:hAnsi="Verdana" w:cs="Arial"/>
              </w:rPr>
              <w:t>7</w:t>
            </w:r>
          </w:p>
        </w:tc>
      </w:tr>
      <w:tr w:rsidRPr="00E6477B" w:rsidR="005F3410" w:rsidTr="006E2980">
        <w:tc>
          <w:tcPr>
            <w:tcW w:w="5637" w:type="dxa"/>
            <w:shd w:val="clear" w:color="auto" w:fill="auto"/>
          </w:tcPr>
          <w:p w:rsidRPr="00E6477B" w:rsidR="005F3410" w:rsidP="006E2980" w:rsidRDefault="005F3410">
            <w:pPr>
              <w:pStyle w:val="ACText"/>
              <w:tabs>
                <w:tab w:val="right" w:pos="9356"/>
              </w:tabs>
              <w:spacing w:before="0"/>
              <w:ind w:right="-1"/>
              <w:jc w:val="left"/>
              <w:rPr>
                <w:rFonts w:ascii="Verdana" w:hAnsi="Verdana" w:cs="Arial"/>
              </w:rPr>
            </w:pPr>
            <w:r w:rsidRPr="00E6477B">
              <w:rPr>
                <w:rFonts w:ascii="Verdana" w:hAnsi="Verdana" w:cs="Arial"/>
              </w:rPr>
              <w:t>Notes to the Financial Statements</w:t>
            </w:r>
          </w:p>
          <w:p w:rsidRPr="00E6477B" w:rsidR="005F3410" w:rsidP="006E2980" w:rsidRDefault="005F3410">
            <w:pPr>
              <w:pStyle w:val="ACText"/>
              <w:tabs>
                <w:tab w:val="right" w:pos="9356"/>
              </w:tabs>
              <w:spacing w:before="0"/>
              <w:ind w:right="-1"/>
              <w:jc w:val="left"/>
              <w:rPr>
                <w:rFonts w:ascii="Verdana" w:hAnsi="Verdana" w:cs="Arial"/>
              </w:rPr>
            </w:pPr>
          </w:p>
        </w:tc>
        <w:tc>
          <w:tcPr>
            <w:tcW w:w="3934" w:type="dxa"/>
            <w:shd w:val="clear" w:color="auto" w:fill="auto"/>
          </w:tcPr>
          <w:p w:rsidRPr="00E6477B" w:rsidR="005F3410" w:rsidP="00E6477B" w:rsidRDefault="00E6477B">
            <w:pPr>
              <w:pStyle w:val="ACText"/>
              <w:tabs>
                <w:tab w:val="right" w:pos="9356"/>
              </w:tabs>
              <w:spacing w:before="0"/>
              <w:ind w:right="-1"/>
              <w:jc w:val="right"/>
              <w:rPr>
                <w:rFonts w:ascii="Verdana" w:hAnsi="Verdana" w:cs="Arial"/>
              </w:rPr>
            </w:pPr>
            <w:r w:rsidRPr="00E6477B">
              <w:rPr>
                <w:rFonts w:ascii="Verdana" w:hAnsi="Verdana" w:cs="Arial"/>
              </w:rPr>
              <w:t>18</w:t>
            </w:r>
            <w:r w:rsidRPr="00E6477B" w:rsidR="0039058A">
              <w:rPr>
                <w:rFonts w:ascii="Verdana" w:hAnsi="Verdana" w:cs="Arial"/>
              </w:rPr>
              <w:t xml:space="preserve"> - </w:t>
            </w:r>
            <w:r w:rsidRPr="00E6477B">
              <w:rPr>
                <w:rFonts w:ascii="Verdana" w:hAnsi="Verdana" w:cs="Arial"/>
              </w:rPr>
              <w:t>29</w:t>
            </w:r>
          </w:p>
        </w:tc>
      </w:tr>
      <w:tr w:rsidRPr="00E6477B" w:rsidR="005F3410" w:rsidTr="006E2980">
        <w:tc>
          <w:tcPr>
            <w:tcW w:w="5637" w:type="dxa"/>
            <w:shd w:val="clear" w:color="auto" w:fill="auto"/>
          </w:tcPr>
          <w:p w:rsidRPr="00E6477B" w:rsidR="005F3410" w:rsidP="006E2980" w:rsidRDefault="005F3410">
            <w:pPr>
              <w:pStyle w:val="ACText"/>
              <w:tabs>
                <w:tab w:val="right" w:pos="9356"/>
              </w:tabs>
              <w:spacing w:before="0"/>
              <w:ind w:right="-1"/>
              <w:jc w:val="left"/>
              <w:rPr>
                <w:rFonts w:ascii="Verdana" w:hAnsi="Verdana" w:cs="Arial"/>
              </w:rPr>
            </w:pPr>
          </w:p>
        </w:tc>
        <w:tc>
          <w:tcPr>
            <w:tcW w:w="3934" w:type="dxa"/>
            <w:shd w:val="clear" w:color="auto" w:fill="auto"/>
          </w:tcPr>
          <w:p w:rsidRPr="00E6477B" w:rsidR="005F3410" w:rsidP="006E2980" w:rsidRDefault="005F3410">
            <w:pPr>
              <w:pStyle w:val="ACText"/>
              <w:tabs>
                <w:tab w:val="right" w:pos="9356"/>
              </w:tabs>
              <w:spacing w:before="0"/>
              <w:ind w:right="-1"/>
              <w:jc w:val="right"/>
              <w:rPr>
                <w:rFonts w:ascii="Verdana" w:hAnsi="Verdana" w:cs="Arial"/>
              </w:rPr>
            </w:pPr>
          </w:p>
        </w:tc>
      </w:tr>
    </w:tbl>
    <w:p w:rsidR="00393497" w:rsidP="00393497" w:rsidRDefault="00393497">
      <w:pPr>
        <w:pStyle w:val="ACText"/>
        <w:tabs>
          <w:tab w:val="right" w:pos="9356"/>
        </w:tabs>
        <w:spacing w:before="0"/>
        <w:ind w:right="-1"/>
        <w:jc w:val="left"/>
        <w:rPr>
          <w:rFonts w:ascii="Verdana" w:hAnsi="Verdana" w:cs="Arial"/>
          <w:b/>
          <w:sz w:val="26"/>
          <w:szCs w:val="26"/>
        </w:rPr>
      </w:pPr>
    </w:p>
    <w:p w:rsidR="00393497" w:rsidP="009C30B4" w:rsidRDefault="00393497">
      <w:pPr>
        <w:pStyle w:val="ACText"/>
        <w:tabs>
          <w:tab w:val="right" w:pos="9356"/>
        </w:tabs>
        <w:spacing w:before="0"/>
        <w:ind w:right="-1"/>
        <w:rPr>
          <w:rFonts w:ascii="Verdana" w:hAnsi="Verdana" w:cs="Arial"/>
        </w:rPr>
      </w:pPr>
    </w:p>
    <w:p w:rsidR="00393497" w:rsidP="009C30B4" w:rsidRDefault="00393497">
      <w:pPr>
        <w:pStyle w:val="ACText"/>
        <w:tabs>
          <w:tab w:val="right" w:pos="9356"/>
        </w:tabs>
        <w:spacing w:before="0"/>
        <w:ind w:right="-1"/>
        <w:rPr>
          <w:rFonts w:ascii="Verdana" w:hAnsi="Verdana" w:cs="Arial"/>
        </w:rPr>
      </w:pPr>
    </w:p>
    <w:p w:rsidR="00393497" w:rsidP="009C30B4" w:rsidRDefault="00393497">
      <w:pPr>
        <w:pStyle w:val="ACText"/>
        <w:tabs>
          <w:tab w:val="right" w:pos="9356"/>
        </w:tabs>
        <w:spacing w:before="0"/>
        <w:ind w:right="-1"/>
        <w:rPr>
          <w:rFonts w:ascii="Verdana" w:hAnsi="Verdana" w:cs="Arial"/>
        </w:rPr>
      </w:pPr>
    </w:p>
    <w:p w:rsidR="00393497" w:rsidP="009C30B4" w:rsidRDefault="00393497">
      <w:pPr>
        <w:pStyle w:val="ACText"/>
        <w:tabs>
          <w:tab w:val="right" w:pos="9356"/>
        </w:tabs>
        <w:spacing w:before="0"/>
        <w:ind w:right="-1"/>
        <w:rPr>
          <w:rFonts w:ascii="Verdana" w:hAnsi="Verdana" w:cs="Arial"/>
        </w:rPr>
      </w:pPr>
    </w:p>
    <w:p w:rsidR="00393497" w:rsidP="009C30B4" w:rsidRDefault="00393497">
      <w:pPr>
        <w:pStyle w:val="ACText"/>
        <w:tabs>
          <w:tab w:val="right" w:pos="9356"/>
        </w:tabs>
        <w:spacing w:before="0"/>
        <w:ind w:right="-1"/>
        <w:rPr>
          <w:rFonts w:ascii="Verdana" w:hAnsi="Verdana" w:cs="Arial"/>
        </w:rPr>
      </w:pPr>
    </w:p>
    <w:p w:rsidR="00393497" w:rsidP="009C30B4" w:rsidRDefault="00393497">
      <w:pPr>
        <w:pStyle w:val="ACText"/>
        <w:tabs>
          <w:tab w:val="right" w:pos="9356"/>
        </w:tabs>
        <w:spacing w:before="0"/>
        <w:ind w:right="-1"/>
        <w:rPr>
          <w:rFonts w:ascii="Verdana" w:hAnsi="Verdana" w:cs="Arial"/>
        </w:rPr>
      </w:pPr>
    </w:p>
    <w:p w:rsidR="00393497" w:rsidP="009C30B4" w:rsidRDefault="00393497">
      <w:pPr>
        <w:pStyle w:val="ACText"/>
        <w:tabs>
          <w:tab w:val="right" w:pos="9356"/>
        </w:tabs>
        <w:spacing w:before="0"/>
        <w:ind w:right="-1"/>
        <w:rPr>
          <w:rFonts w:ascii="Verdana" w:hAnsi="Verdana" w:cs="Arial"/>
        </w:rPr>
      </w:pPr>
    </w:p>
    <w:p w:rsidRPr="00B236D3" w:rsidR="00393497" w:rsidP="009C30B4" w:rsidRDefault="00393497">
      <w:pPr>
        <w:pStyle w:val="ACText"/>
        <w:tabs>
          <w:tab w:val="right" w:pos="9356"/>
        </w:tabs>
        <w:spacing w:before="0"/>
        <w:ind w:right="-1"/>
        <w:rPr>
          <w:rFonts w:ascii="Verdana" w:hAnsi="Verdana" w:cs="Arial"/>
        </w:rPr>
      </w:pPr>
    </w:p>
    <w:p w:rsidRPr="00FC719F" w:rsidR="00312324" w:rsidRDefault="00312324">
      <w:pPr>
        <w:rPr>
          <w:rFonts w:ascii="Arial" w:hAnsi="Arial" w:cs="Arial"/>
          <w:color w:val="FF6600"/>
        </w:rPr>
      </w:pPr>
    </w:p>
    <w:p w:rsidRPr="00121B7C" w:rsidR="00312324" w:rsidP="00121B7C" w:rsidRDefault="00312324">
      <w:pPr>
        <w:rPr>
          <w:rFonts w:ascii="Arial" w:hAnsi="Arial" w:cs="Arial"/>
        </w:rPr>
        <w:sectPr w:rsidRPr="00121B7C" w:rsidR="00312324" w:rsidSect="00475708">
          <w:headerReference w:type="default" r:id="rId9"/>
          <w:footerReference w:type="default" r:id="rId10"/>
          <w:headerReference w:type="first" r:id="rId11"/>
          <w:footerReference w:type="first" r:id="rId12"/>
          <w:pgSz w:w="11907" w:h="16840" w:code="9"/>
          <w:pgMar w:top="2041" w:right="1276" w:bottom="1418" w:left="1276" w:header="720" w:footer="425" w:gutter="0"/>
          <w:pgNumType w:start="1"/>
          <w:cols w:space="720"/>
          <w:docGrid w:linePitch="190"/>
        </w:sectPr>
      </w:pPr>
    </w:p>
    <w:p w:rsidR="00D02E05" w:rsidP="00D02E05" w:rsidRDefault="00D02E05">
      <w:pPr>
        <w:pStyle w:val="ACPageHeading"/>
        <w:ind w:right="-1"/>
        <w:rPr>
          <w:rFonts w:ascii="Verdana" w:hAnsi="Verdana" w:cs="Arial"/>
        </w:rPr>
      </w:pPr>
      <w:r w:rsidRPr="0099464D">
        <w:rPr>
          <w:rFonts w:ascii="Verdana" w:hAnsi="Verdana" w:cs="Arial"/>
        </w:rPr>
        <w:lastRenderedPageBreak/>
        <w:t>Company Information</w:t>
      </w:r>
    </w:p>
    <w:p w:rsidRPr="0099464D" w:rsidR="00D02E05" w:rsidP="00D02E05" w:rsidRDefault="00D02E05"/>
    <w:tbl>
      <w:tblPr>
        <w:tblW w:w="0" w:type="auto"/>
        <w:tblLook w:val="04A0" w:firstRow="1" w:lastRow="0" w:firstColumn="1" w:lastColumn="0" w:noHBand="0" w:noVBand="1"/>
      </w:tblPr>
      <w:tblGrid>
        <w:gridCol w:w="3510"/>
        <w:gridCol w:w="3544"/>
      </w:tblGrid>
      <w:tr w:rsidR="00AE21E1" w:rsidTr="006E2980">
        <w:tc>
          <w:tcPr>
            <w:tcW w:w="3510" w:type="dxa"/>
            <w:shd w:val="clear" w:color="auto" w:fill="auto"/>
          </w:tcPr>
          <w:p w:rsidRPr="00222C77" w:rsidR="00AE21E1" w:rsidP="006E2980" w:rsidRDefault="00DE28C3">
            <w:pPr>
              <w:jc w:val="left"/>
              <w:rPr>
                <w:rFonts w:ascii="Verdana" w:hAnsi="Verdana" w:cs="Arial"/>
                <w:b/>
                <w:sz w:val="20"/>
              </w:rPr>
            </w:pPr>
            <w:r>
              <w:rPr>
                <w:rFonts w:ascii="Verdana" w:hAnsi="Verdana" w:cs="Arial"/>
                <w:b/>
                <w:sz w:val="20"/>
              </w:rPr>
              <w:t>Company R</w:t>
            </w:r>
            <w:r w:rsidRPr="00222C77" w:rsidR="00AE21E1">
              <w:rPr>
                <w:rFonts w:ascii="Verdana" w:hAnsi="Verdana" w:cs="Arial"/>
                <w:b/>
                <w:sz w:val="20"/>
              </w:rPr>
              <w:t xml:space="preserve">egistration </w:t>
            </w:r>
            <w:r>
              <w:rPr>
                <w:rFonts w:ascii="Verdana" w:hAnsi="Verdana" w:cs="Arial"/>
                <w:b/>
                <w:sz w:val="20"/>
              </w:rPr>
              <w:t>No</w:t>
            </w:r>
          </w:p>
          <w:p w:rsidRPr="00222C77" w:rsidR="00AE21E1" w:rsidP="006E2980" w:rsidRDefault="00AE21E1">
            <w:pPr>
              <w:jc w:val="left"/>
              <w:rPr>
                <w:b/>
              </w:rPr>
            </w:pPr>
          </w:p>
        </w:tc>
        <w:tc>
          <w:tcPr>
            <w:tcW w:w="3544" w:type="dxa"/>
            <w:shd w:val="clear" w:color="auto" w:fill="auto"/>
          </w:tcPr>
          <w:p w:rsidR="00AE21E1" w:rsidP="006E2980" w:rsidRDefault="00AE21E1">
            <w:pPr>
              <w:ind w:firstLine="34"/>
            </w:pPr>
            <w:r w:rsidRPr="00222C77">
              <w:rPr>
                <w:rFonts w:ascii="Verdana" w:hAnsi="Verdana" w:cs="Arial"/>
                <w:sz w:val="20"/>
              </w:rPr>
              <w:t>06249790</w:t>
            </w:r>
          </w:p>
        </w:tc>
      </w:tr>
      <w:tr w:rsidR="00AE21E1" w:rsidTr="006E2980">
        <w:trPr>
          <w:trHeight w:val="813"/>
        </w:trPr>
        <w:tc>
          <w:tcPr>
            <w:tcW w:w="3510" w:type="dxa"/>
            <w:shd w:val="clear" w:color="auto" w:fill="auto"/>
          </w:tcPr>
          <w:p w:rsidRPr="00222C77" w:rsidR="00AE21E1" w:rsidP="006E2980" w:rsidRDefault="00AE21E1">
            <w:pPr>
              <w:jc w:val="left"/>
              <w:rPr>
                <w:b/>
              </w:rPr>
            </w:pPr>
            <w:r w:rsidRPr="00222C77">
              <w:rPr>
                <w:rFonts w:ascii="Verdana" w:hAnsi="Verdana" w:cs="Arial"/>
                <w:b/>
                <w:sz w:val="20"/>
              </w:rPr>
              <w:t>Registered office:</w:t>
            </w:r>
          </w:p>
        </w:tc>
        <w:tc>
          <w:tcPr>
            <w:tcW w:w="3544" w:type="dxa"/>
            <w:shd w:val="clear" w:color="auto" w:fill="auto"/>
          </w:tcPr>
          <w:p w:rsidRPr="00222C77" w:rsidR="00AE21E1" w:rsidP="006E2980" w:rsidRDefault="00AE21E1">
            <w:pPr>
              <w:rPr>
                <w:rFonts w:ascii="Verdana" w:hAnsi="Verdana"/>
                <w:sz w:val="20"/>
              </w:rPr>
            </w:pPr>
            <w:r w:rsidRPr="00222C77">
              <w:rPr>
                <w:rFonts w:ascii="Verdana" w:hAnsi="Verdana"/>
                <w:sz w:val="20"/>
              </w:rPr>
              <w:t>Jack Dash House</w:t>
            </w:r>
          </w:p>
          <w:p w:rsidRPr="00222C77" w:rsidR="00AE21E1" w:rsidP="006E2980" w:rsidRDefault="00AE21E1">
            <w:pPr>
              <w:rPr>
                <w:rFonts w:ascii="Verdana" w:hAnsi="Verdana"/>
                <w:sz w:val="20"/>
              </w:rPr>
            </w:pPr>
            <w:r w:rsidRPr="00222C77">
              <w:rPr>
                <w:rFonts w:ascii="Verdana" w:hAnsi="Verdana"/>
                <w:sz w:val="20"/>
              </w:rPr>
              <w:t>2 Lawn House Close</w:t>
            </w:r>
          </w:p>
          <w:p w:rsidRPr="00222C77" w:rsidR="00AE21E1" w:rsidP="006E2980" w:rsidRDefault="00AE21E1">
            <w:pPr>
              <w:rPr>
                <w:rFonts w:ascii="Verdana" w:hAnsi="Verdana"/>
                <w:sz w:val="20"/>
              </w:rPr>
            </w:pPr>
            <w:r w:rsidRPr="00222C77">
              <w:rPr>
                <w:rFonts w:ascii="Verdana" w:hAnsi="Verdana"/>
                <w:sz w:val="20"/>
              </w:rPr>
              <w:t>London</w:t>
            </w:r>
          </w:p>
          <w:p w:rsidRPr="00222C77" w:rsidR="00AE21E1" w:rsidP="006E2980" w:rsidRDefault="00AE21E1">
            <w:pPr>
              <w:rPr>
                <w:rFonts w:ascii="Verdana" w:hAnsi="Verdana"/>
                <w:sz w:val="20"/>
              </w:rPr>
            </w:pPr>
            <w:r w:rsidRPr="00222C77">
              <w:rPr>
                <w:rFonts w:ascii="Verdana" w:hAnsi="Verdana"/>
                <w:sz w:val="20"/>
              </w:rPr>
              <w:t>E14 9YQ</w:t>
            </w:r>
          </w:p>
          <w:p w:rsidRPr="00222C77" w:rsidR="00AE21E1" w:rsidP="006E2980" w:rsidRDefault="00AE21E1">
            <w:pPr>
              <w:rPr>
                <w:rFonts w:ascii="Verdana" w:hAnsi="Verdana"/>
                <w:sz w:val="20"/>
              </w:rPr>
            </w:pPr>
          </w:p>
          <w:p w:rsidRPr="00222C77" w:rsidR="00AE21E1" w:rsidP="006E2980" w:rsidRDefault="00AE21E1">
            <w:pPr>
              <w:rPr>
                <w:rFonts w:ascii="Verdana" w:hAnsi="Verdana"/>
                <w:sz w:val="20"/>
              </w:rPr>
            </w:pPr>
          </w:p>
        </w:tc>
      </w:tr>
      <w:tr w:rsidR="00AE21E1" w:rsidTr="006E2980">
        <w:tc>
          <w:tcPr>
            <w:tcW w:w="3510" w:type="dxa"/>
            <w:shd w:val="clear" w:color="auto" w:fill="auto"/>
          </w:tcPr>
          <w:p w:rsidRPr="00222C77" w:rsidR="00AE21E1" w:rsidP="006E2980" w:rsidRDefault="00AE21E1">
            <w:pPr>
              <w:jc w:val="left"/>
              <w:rPr>
                <w:b/>
              </w:rPr>
            </w:pPr>
            <w:r w:rsidRPr="00222C77">
              <w:rPr>
                <w:rFonts w:ascii="Verdana" w:hAnsi="Verdana" w:cs="Arial"/>
                <w:b/>
                <w:sz w:val="20"/>
              </w:rPr>
              <w:t>Bankers:</w:t>
            </w:r>
          </w:p>
        </w:tc>
        <w:tc>
          <w:tcPr>
            <w:tcW w:w="3544" w:type="dxa"/>
            <w:shd w:val="clear" w:color="auto" w:fill="auto"/>
          </w:tcPr>
          <w:p w:rsidRPr="00222C77" w:rsidR="00AE21E1" w:rsidP="006E2980" w:rsidRDefault="005F3410">
            <w:pPr>
              <w:pStyle w:val="ACSectionTOCHeading"/>
              <w:rPr>
                <w:rFonts w:ascii="Verdana" w:hAnsi="Verdana" w:cs="Arial"/>
                <w:sz w:val="20"/>
              </w:rPr>
            </w:pPr>
            <w:r>
              <w:rPr>
                <w:rFonts w:ascii="Verdana" w:hAnsi="Verdana" w:cs="Arial"/>
                <w:sz w:val="20"/>
              </w:rPr>
              <w:t>National Westminster Bank plc</w:t>
            </w:r>
          </w:p>
          <w:p w:rsidR="00AE21E1" w:rsidP="006E2980" w:rsidRDefault="005F3410">
            <w:pPr>
              <w:rPr>
                <w:rFonts w:ascii="Verdana" w:hAnsi="Verdana" w:cs="Arial"/>
                <w:sz w:val="20"/>
              </w:rPr>
            </w:pPr>
            <w:r>
              <w:rPr>
                <w:rFonts w:ascii="Verdana" w:hAnsi="Verdana" w:cs="Arial"/>
                <w:sz w:val="20"/>
              </w:rPr>
              <w:t>Docklands South Quay Branch</w:t>
            </w:r>
          </w:p>
          <w:p w:rsidR="005F3410" w:rsidP="006E2980" w:rsidRDefault="005F3410">
            <w:pPr>
              <w:rPr>
                <w:rFonts w:ascii="Verdana" w:hAnsi="Verdana" w:cs="Arial"/>
                <w:sz w:val="20"/>
              </w:rPr>
            </w:pPr>
            <w:r>
              <w:rPr>
                <w:rFonts w:ascii="Verdana" w:hAnsi="Verdana" w:cs="Arial"/>
                <w:sz w:val="20"/>
              </w:rPr>
              <w:t>54 Marsh Wall</w:t>
            </w:r>
          </w:p>
          <w:p w:rsidR="005F3410" w:rsidP="006E2980" w:rsidRDefault="005F3410">
            <w:pPr>
              <w:rPr>
                <w:rFonts w:ascii="Verdana" w:hAnsi="Verdana" w:cs="Arial"/>
                <w:sz w:val="20"/>
              </w:rPr>
            </w:pPr>
            <w:r>
              <w:rPr>
                <w:rFonts w:ascii="Verdana" w:hAnsi="Verdana" w:cs="Arial"/>
                <w:sz w:val="20"/>
              </w:rPr>
              <w:t>West India Dock</w:t>
            </w:r>
          </w:p>
          <w:p w:rsidRPr="00222C77" w:rsidR="005F3410" w:rsidP="006E2980" w:rsidRDefault="005F3410">
            <w:pPr>
              <w:rPr>
                <w:rFonts w:ascii="Verdana" w:hAnsi="Verdana" w:cs="Arial"/>
                <w:sz w:val="20"/>
              </w:rPr>
            </w:pPr>
            <w:r>
              <w:rPr>
                <w:rFonts w:ascii="Verdana" w:hAnsi="Verdana" w:cs="Arial"/>
                <w:sz w:val="20"/>
              </w:rPr>
              <w:t>London E14 6LJ</w:t>
            </w:r>
          </w:p>
          <w:p w:rsidR="00AE21E1" w:rsidP="006E2980" w:rsidRDefault="00AE21E1">
            <w:r w:rsidRPr="00222C77">
              <w:rPr>
                <w:rFonts w:ascii="Verdana" w:hAnsi="Verdana" w:cs="Arial"/>
                <w:sz w:val="20"/>
              </w:rPr>
              <w:tab/>
            </w:r>
          </w:p>
        </w:tc>
      </w:tr>
      <w:tr w:rsidR="00AE21E1" w:rsidTr="006E2980">
        <w:tc>
          <w:tcPr>
            <w:tcW w:w="3510" w:type="dxa"/>
            <w:shd w:val="clear" w:color="auto" w:fill="auto"/>
          </w:tcPr>
          <w:p w:rsidRPr="0040381B" w:rsidR="00AE21E1" w:rsidP="006E2980" w:rsidRDefault="00AE21E1">
            <w:pPr>
              <w:jc w:val="left"/>
              <w:rPr>
                <w:b/>
              </w:rPr>
            </w:pPr>
            <w:r w:rsidRPr="0040381B">
              <w:rPr>
                <w:rFonts w:ascii="Verdana" w:hAnsi="Verdana" w:cs="Arial"/>
                <w:b/>
                <w:sz w:val="20"/>
              </w:rPr>
              <w:t>Solicitors:</w:t>
            </w:r>
          </w:p>
        </w:tc>
        <w:tc>
          <w:tcPr>
            <w:tcW w:w="3544" w:type="dxa"/>
            <w:shd w:val="clear" w:color="auto" w:fill="auto"/>
          </w:tcPr>
          <w:p w:rsidRPr="0040381B" w:rsidR="00AE21E1" w:rsidP="006E2980" w:rsidRDefault="00AE21E1">
            <w:pPr>
              <w:rPr>
                <w:rFonts w:ascii="Verdana" w:hAnsi="Verdana" w:cs="Arial"/>
                <w:b/>
                <w:sz w:val="20"/>
              </w:rPr>
            </w:pPr>
            <w:r w:rsidRPr="0040381B">
              <w:rPr>
                <w:rFonts w:ascii="Verdana" w:hAnsi="Verdana" w:cs="Arial"/>
                <w:b/>
                <w:sz w:val="20"/>
              </w:rPr>
              <w:t>Trowers and Hamlins LLP</w:t>
            </w:r>
          </w:p>
          <w:p w:rsidRPr="0040381B" w:rsidR="00AE21E1" w:rsidP="006E2980" w:rsidRDefault="00BA215D">
            <w:pPr>
              <w:rPr>
                <w:rFonts w:ascii="Verdana" w:hAnsi="Verdana" w:cs="Arial"/>
                <w:sz w:val="20"/>
              </w:rPr>
            </w:pPr>
            <w:r w:rsidRPr="0040381B">
              <w:rPr>
                <w:rFonts w:ascii="Verdana" w:hAnsi="Verdana" w:cs="Arial"/>
                <w:sz w:val="20"/>
              </w:rPr>
              <w:t>3 Bunhill Row</w:t>
            </w:r>
          </w:p>
          <w:p w:rsidRPr="0040381B" w:rsidR="00BA215D" w:rsidP="006E2980" w:rsidRDefault="00BA215D">
            <w:pPr>
              <w:rPr>
                <w:rFonts w:ascii="Verdana" w:hAnsi="Verdana" w:cs="Arial"/>
                <w:sz w:val="20"/>
              </w:rPr>
            </w:pPr>
            <w:r w:rsidRPr="0040381B">
              <w:rPr>
                <w:rFonts w:ascii="Verdana" w:hAnsi="Verdana" w:cs="Arial"/>
                <w:sz w:val="20"/>
              </w:rPr>
              <w:t>London</w:t>
            </w:r>
          </w:p>
          <w:p w:rsidRPr="0040381B" w:rsidR="00BA215D" w:rsidP="006E2980" w:rsidRDefault="00BA215D">
            <w:pPr>
              <w:rPr>
                <w:rFonts w:ascii="Verdana" w:hAnsi="Verdana" w:cs="Arial"/>
                <w:sz w:val="20"/>
              </w:rPr>
            </w:pPr>
            <w:r w:rsidRPr="0040381B">
              <w:rPr>
                <w:rFonts w:ascii="Verdana" w:hAnsi="Verdana" w:cs="Arial"/>
                <w:sz w:val="20"/>
              </w:rPr>
              <w:t>EC1Y 8YZ</w:t>
            </w:r>
          </w:p>
          <w:p w:rsidRPr="0040381B" w:rsidR="00AE21E1" w:rsidP="006E2980" w:rsidRDefault="00AE21E1">
            <w:pPr>
              <w:rPr>
                <w:rFonts w:ascii="Verdana" w:hAnsi="Verdana"/>
                <w:sz w:val="20"/>
              </w:rPr>
            </w:pPr>
          </w:p>
        </w:tc>
      </w:tr>
      <w:tr w:rsidR="00AE21E1" w:rsidTr="006E2980">
        <w:tc>
          <w:tcPr>
            <w:tcW w:w="3510" w:type="dxa"/>
            <w:shd w:val="clear" w:color="auto" w:fill="auto"/>
          </w:tcPr>
          <w:p w:rsidRPr="00222C77" w:rsidR="00AE21E1" w:rsidP="006E2980" w:rsidRDefault="00AE21E1">
            <w:pPr>
              <w:jc w:val="left"/>
              <w:rPr>
                <w:b/>
              </w:rPr>
            </w:pPr>
            <w:r w:rsidRPr="00222C77">
              <w:rPr>
                <w:rFonts w:ascii="Verdana" w:hAnsi="Verdana" w:cs="Arial"/>
                <w:b/>
                <w:sz w:val="20"/>
              </w:rPr>
              <w:t>Auditors:</w:t>
            </w:r>
          </w:p>
        </w:tc>
        <w:tc>
          <w:tcPr>
            <w:tcW w:w="3544" w:type="dxa"/>
            <w:shd w:val="clear" w:color="auto" w:fill="auto"/>
          </w:tcPr>
          <w:p w:rsidRPr="00222C77" w:rsidR="00AE21E1" w:rsidP="006E2980" w:rsidRDefault="00AE21E1">
            <w:pPr>
              <w:rPr>
                <w:rFonts w:ascii="Verdana" w:hAnsi="Verdana" w:cs="Arial"/>
                <w:b/>
                <w:sz w:val="20"/>
              </w:rPr>
            </w:pPr>
            <w:r w:rsidRPr="00222C77">
              <w:rPr>
                <w:rFonts w:ascii="Verdana" w:hAnsi="Verdana" w:cs="Arial"/>
                <w:b/>
                <w:sz w:val="20"/>
              </w:rPr>
              <w:t>KPMG LLP</w:t>
            </w:r>
          </w:p>
          <w:p w:rsidRPr="00222C77" w:rsidR="00AE21E1" w:rsidP="006E2980" w:rsidRDefault="00AE21E1">
            <w:pPr>
              <w:rPr>
                <w:rFonts w:ascii="Verdana" w:hAnsi="Verdana"/>
                <w:sz w:val="20"/>
              </w:rPr>
            </w:pPr>
            <w:r w:rsidRPr="00222C77">
              <w:rPr>
                <w:rFonts w:ascii="Verdana" w:hAnsi="Verdana"/>
                <w:sz w:val="20"/>
              </w:rPr>
              <w:t>15 Canada Square</w:t>
            </w:r>
          </w:p>
          <w:p w:rsidRPr="00222C77" w:rsidR="00AE21E1" w:rsidP="006E2980" w:rsidRDefault="00AE21E1">
            <w:pPr>
              <w:rPr>
                <w:rFonts w:ascii="Verdana" w:hAnsi="Verdana"/>
                <w:sz w:val="20"/>
              </w:rPr>
            </w:pPr>
            <w:r w:rsidRPr="00222C77">
              <w:rPr>
                <w:rFonts w:ascii="Verdana" w:hAnsi="Verdana"/>
                <w:sz w:val="20"/>
              </w:rPr>
              <w:t>Canary Wharf</w:t>
            </w:r>
          </w:p>
          <w:p w:rsidRPr="00222C77" w:rsidR="00AE21E1" w:rsidP="006E2980" w:rsidRDefault="00AE21E1">
            <w:pPr>
              <w:rPr>
                <w:rFonts w:ascii="Verdana" w:hAnsi="Verdana"/>
                <w:sz w:val="20"/>
              </w:rPr>
            </w:pPr>
            <w:r w:rsidRPr="00222C77">
              <w:rPr>
                <w:rFonts w:ascii="Verdana" w:hAnsi="Verdana"/>
                <w:sz w:val="20"/>
              </w:rPr>
              <w:t>London</w:t>
            </w:r>
          </w:p>
          <w:p w:rsidRPr="00222C77" w:rsidR="00AE21E1" w:rsidP="006E2980" w:rsidRDefault="00AE21E1">
            <w:pPr>
              <w:rPr>
                <w:rFonts w:ascii="Verdana" w:hAnsi="Verdana"/>
                <w:sz w:val="20"/>
              </w:rPr>
            </w:pPr>
            <w:r w:rsidRPr="00222C77">
              <w:rPr>
                <w:rFonts w:ascii="Verdana" w:hAnsi="Verdana"/>
                <w:sz w:val="20"/>
              </w:rPr>
              <w:t>E14 5GL</w:t>
            </w:r>
          </w:p>
          <w:p w:rsidRPr="00222C77" w:rsidR="00AE21E1" w:rsidP="006E2980" w:rsidRDefault="00AE21E1">
            <w:pPr>
              <w:rPr>
                <w:rFonts w:ascii="Verdana" w:hAnsi="Verdana"/>
                <w:sz w:val="20"/>
              </w:rPr>
            </w:pPr>
          </w:p>
        </w:tc>
      </w:tr>
    </w:tbl>
    <w:p w:rsidRPr="00DE3DE2" w:rsidR="00CB500A" w:rsidP="00DE3DE2" w:rsidRDefault="00E125D0">
      <w:pPr>
        <w:pStyle w:val="ACSectionTOCHeading"/>
        <w:rPr>
          <w:rFonts w:ascii="Verdana" w:hAnsi="Verdana" w:cs="Arial"/>
          <w:sz w:val="20"/>
        </w:rPr>
      </w:pPr>
      <w:r>
        <w:rPr>
          <w:rFonts w:ascii="Verdana" w:hAnsi="Verdana" w:cs="Arial"/>
          <w:sz w:val="20"/>
        </w:rPr>
        <w:t>Board of D</w:t>
      </w:r>
      <w:r w:rsidRPr="005C65BC" w:rsidR="00312324">
        <w:rPr>
          <w:rFonts w:ascii="Verdana" w:hAnsi="Verdana" w:cs="Arial"/>
          <w:sz w:val="20"/>
        </w:rPr>
        <w:t>irectors</w:t>
      </w:r>
      <w:r w:rsidRPr="005C65BC" w:rsidR="005541BF">
        <w:rPr>
          <w:rFonts w:ascii="Verdana" w:hAnsi="Verdana" w:cs="Arial"/>
          <w:sz w:val="20"/>
        </w:rPr>
        <w:t>:</w:t>
      </w:r>
    </w:p>
    <w:tbl>
      <w:tblPr>
        <w:tblW w:w="0" w:type="auto"/>
        <w:tblInd w:w="93" w:type="dxa"/>
        <w:tblLook w:val="04A0" w:firstRow="1" w:lastRow="0" w:firstColumn="1" w:lastColumn="0" w:noHBand="0" w:noVBand="1"/>
      </w:tblPr>
      <w:tblGrid>
        <w:gridCol w:w="2484"/>
        <w:gridCol w:w="1363"/>
        <w:gridCol w:w="1249"/>
        <w:gridCol w:w="1177"/>
      </w:tblGrid>
      <w:tr w:rsidRPr="002D4086" w:rsidR="00DE28C3" w:rsidTr="00CF05EE">
        <w:trPr>
          <w:trHeight w:val="300"/>
        </w:trPr>
        <w:tc>
          <w:tcPr>
            <w:tcW w:w="0" w:type="auto"/>
            <w:tcBorders>
              <w:top w:val="single" w:color="auto" w:sz="8" w:space="0"/>
              <w:left w:val="single" w:color="auto" w:sz="8" w:space="0"/>
              <w:bottom w:val="single" w:color="auto" w:sz="8" w:space="0"/>
              <w:right w:val="single" w:color="auto" w:sz="4" w:space="0"/>
            </w:tcBorders>
            <w:shd w:val="clear" w:color="auto" w:fill="auto"/>
            <w:vAlign w:val="center"/>
            <w:hideMark/>
          </w:tcPr>
          <w:p w:rsidRPr="002D4086" w:rsidR="00DE28C3" w:rsidP="00CF05EE" w:rsidRDefault="002D4086">
            <w:pPr>
              <w:overflowPunct/>
              <w:autoSpaceDE/>
              <w:autoSpaceDN/>
              <w:adjustRightInd/>
              <w:jc w:val="center"/>
              <w:textAlignment w:val="auto"/>
              <w:rPr>
                <w:rFonts w:ascii="Verdana" w:hAnsi="Verdana"/>
                <w:b/>
                <w:bCs/>
                <w:color w:val="000000"/>
                <w:szCs w:val="18"/>
                <w:lang w:eastAsia="en-GB"/>
              </w:rPr>
            </w:pPr>
            <w:r w:rsidRPr="002D4086">
              <w:rPr>
                <w:rFonts w:ascii="Verdana" w:hAnsi="Verdana"/>
                <w:b/>
                <w:bCs/>
                <w:color w:val="000000"/>
                <w:szCs w:val="18"/>
                <w:lang w:eastAsia="en-GB"/>
              </w:rPr>
              <w:t>Name</w:t>
            </w:r>
          </w:p>
        </w:tc>
        <w:tc>
          <w:tcPr>
            <w:tcW w:w="0" w:type="auto"/>
            <w:tcBorders>
              <w:top w:val="single" w:color="auto" w:sz="8" w:space="0"/>
              <w:left w:val="nil"/>
              <w:bottom w:val="single" w:color="auto" w:sz="8" w:space="0"/>
              <w:right w:val="single" w:color="auto" w:sz="4" w:space="0"/>
            </w:tcBorders>
            <w:shd w:val="clear" w:color="auto" w:fill="auto"/>
            <w:vAlign w:val="center"/>
            <w:hideMark/>
          </w:tcPr>
          <w:p w:rsidRPr="002D4086" w:rsidR="00DE28C3" w:rsidP="00CF05EE" w:rsidRDefault="00DE28C3">
            <w:pPr>
              <w:overflowPunct/>
              <w:autoSpaceDE/>
              <w:autoSpaceDN/>
              <w:adjustRightInd/>
              <w:jc w:val="center"/>
              <w:textAlignment w:val="auto"/>
              <w:rPr>
                <w:rFonts w:ascii="Verdana" w:hAnsi="Verdana"/>
                <w:b/>
                <w:bCs/>
                <w:color w:val="000000"/>
                <w:szCs w:val="18"/>
                <w:lang w:eastAsia="en-GB"/>
              </w:rPr>
            </w:pPr>
            <w:r w:rsidRPr="002D4086">
              <w:rPr>
                <w:rFonts w:ascii="Verdana" w:hAnsi="Verdana"/>
                <w:b/>
                <w:bCs/>
                <w:color w:val="000000"/>
                <w:szCs w:val="18"/>
                <w:lang w:eastAsia="en-GB"/>
              </w:rPr>
              <w:t>Type</w:t>
            </w:r>
          </w:p>
        </w:tc>
        <w:tc>
          <w:tcPr>
            <w:tcW w:w="0" w:type="auto"/>
            <w:tcBorders>
              <w:top w:val="single" w:color="auto" w:sz="8" w:space="0"/>
              <w:left w:val="nil"/>
              <w:bottom w:val="single" w:color="auto" w:sz="8" w:space="0"/>
              <w:right w:val="single" w:color="auto" w:sz="4" w:space="0"/>
            </w:tcBorders>
            <w:shd w:val="clear" w:color="auto" w:fill="auto"/>
            <w:vAlign w:val="center"/>
            <w:hideMark/>
          </w:tcPr>
          <w:p w:rsidRPr="002D4086" w:rsidR="00DE28C3" w:rsidP="00CF05EE" w:rsidRDefault="00DE28C3">
            <w:pPr>
              <w:overflowPunct/>
              <w:autoSpaceDE/>
              <w:autoSpaceDN/>
              <w:adjustRightInd/>
              <w:jc w:val="center"/>
              <w:textAlignment w:val="auto"/>
              <w:rPr>
                <w:rFonts w:ascii="Verdana" w:hAnsi="Verdana"/>
                <w:b/>
                <w:bCs/>
                <w:color w:val="000000"/>
                <w:szCs w:val="18"/>
                <w:lang w:eastAsia="en-GB"/>
              </w:rPr>
            </w:pPr>
            <w:r w:rsidRPr="002D4086">
              <w:rPr>
                <w:rFonts w:ascii="Verdana" w:hAnsi="Verdana"/>
                <w:b/>
                <w:bCs/>
                <w:color w:val="000000"/>
                <w:szCs w:val="18"/>
                <w:lang w:eastAsia="en-GB"/>
              </w:rPr>
              <w:t>Appointed</w:t>
            </w:r>
          </w:p>
        </w:tc>
        <w:tc>
          <w:tcPr>
            <w:tcW w:w="0" w:type="auto"/>
            <w:tcBorders>
              <w:top w:val="single" w:color="auto" w:sz="8" w:space="0"/>
              <w:left w:val="nil"/>
              <w:bottom w:val="single" w:color="auto" w:sz="8" w:space="0"/>
              <w:right w:val="single" w:color="auto" w:sz="8" w:space="0"/>
            </w:tcBorders>
            <w:shd w:val="clear" w:color="auto" w:fill="auto"/>
            <w:vAlign w:val="center"/>
            <w:hideMark/>
          </w:tcPr>
          <w:p w:rsidRPr="002D4086" w:rsidR="00DE28C3" w:rsidP="00CF05EE" w:rsidRDefault="00DE28C3">
            <w:pPr>
              <w:overflowPunct/>
              <w:autoSpaceDE/>
              <w:autoSpaceDN/>
              <w:adjustRightInd/>
              <w:jc w:val="center"/>
              <w:textAlignment w:val="auto"/>
              <w:rPr>
                <w:rFonts w:ascii="Verdana" w:hAnsi="Verdana"/>
                <w:b/>
                <w:bCs/>
                <w:color w:val="000000"/>
                <w:szCs w:val="18"/>
                <w:lang w:eastAsia="en-GB"/>
              </w:rPr>
            </w:pPr>
            <w:r w:rsidRPr="002D4086">
              <w:rPr>
                <w:rFonts w:ascii="Verdana" w:hAnsi="Verdana"/>
                <w:b/>
                <w:bCs/>
                <w:color w:val="000000"/>
                <w:szCs w:val="18"/>
                <w:lang w:eastAsia="en-GB"/>
              </w:rPr>
              <w:t>Resigned</w:t>
            </w:r>
          </w:p>
        </w:tc>
      </w:tr>
      <w:tr w:rsidRPr="002D4086" w:rsidR="00DE28C3" w:rsidTr="00CF05EE">
        <w:trPr>
          <w:trHeight w:val="300"/>
        </w:trPr>
        <w:tc>
          <w:tcPr>
            <w:tcW w:w="0" w:type="auto"/>
            <w:tcBorders>
              <w:top w:val="nil"/>
              <w:left w:val="single" w:color="auto" w:sz="8" w:space="0"/>
              <w:bottom w:val="single" w:color="auto" w:sz="4" w:space="0"/>
              <w:right w:val="single" w:color="auto" w:sz="4" w:space="0"/>
            </w:tcBorders>
            <w:shd w:val="clear" w:color="auto" w:fill="auto"/>
            <w:vAlign w:val="center"/>
            <w:hideMark/>
          </w:tcPr>
          <w:p w:rsidRPr="002D4086" w:rsidR="00DE28C3" w:rsidP="003049C1" w:rsidRDefault="00DE28C3">
            <w:pPr>
              <w:overflowPunct/>
              <w:autoSpaceDE/>
              <w:autoSpaceDN/>
              <w:adjustRightInd/>
              <w:jc w:val="left"/>
              <w:textAlignment w:val="auto"/>
              <w:rPr>
                <w:rFonts w:ascii="Verdana" w:hAnsi="Verdana"/>
                <w:color w:val="000000"/>
                <w:szCs w:val="18"/>
                <w:lang w:eastAsia="en-GB"/>
              </w:rPr>
            </w:pPr>
            <w:r w:rsidRPr="002D4086">
              <w:rPr>
                <w:rFonts w:ascii="Verdana" w:hAnsi="Verdana"/>
                <w:color w:val="000000"/>
                <w:szCs w:val="18"/>
                <w:lang w:eastAsia="en-GB"/>
              </w:rPr>
              <w:t>Ann Lucas (Chair)</w:t>
            </w:r>
          </w:p>
        </w:tc>
        <w:tc>
          <w:tcPr>
            <w:tcW w:w="0" w:type="auto"/>
            <w:tcBorders>
              <w:top w:val="nil"/>
              <w:left w:val="nil"/>
              <w:bottom w:val="single" w:color="auto" w:sz="4" w:space="0"/>
              <w:right w:val="single" w:color="auto" w:sz="4" w:space="0"/>
            </w:tcBorders>
            <w:shd w:val="clear" w:color="auto" w:fill="auto"/>
            <w:vAlign w:val="center"/>
            <w:hideMark/>
          </w:tcPr>
          <w:p w:rsidRPr="002D4086" w:rsidR="00DE28C3" w:rsidP="003049C1" w:rsidRDefault="00DE28C3">
            <w:pPr>
              <w:overflowPunct/>
              <w:autoSpaceDE/>
              <w:autoSpaceDN/>
              <w:adjustRightInd/>
              <w:jc w:val="left"/>
              <w:textAlignment w:val="auto"/>
              <w:rPr>
                <w:rFonts w:ascii="Verdana" w:hAnsi="Verdana"/>
                <w:color w:val="000000"/>
                <w:szCs w:val="18"/>
                <w:lang w:eastAsia="en-GB"/>
              </w:rPr>
            </w:pPr>
            <w:r w:rsidRPr="002D4086">
              <w:rPr>
                <w:rFonts w:ascii="Verdana" w:hAnsi="Verdana"/>
                <w:color w:val="000000"/>
                <w:szCs w:val="18"/>
                <w:lang w:eastAsia="en-GB"/>
              </w:rPr>
              <w:t>Independent</w:t>
            </w:r>
          </w:p>
        </w:tc>
        <w:tc>
          <w:tcPr>
            <w:tcW w:w="0" w:type="auto"/>
            <w:tcBorders>
              <w:top w:val="nil"/>
              <w:left w:val="nil"/>
              <w:bottom w:val="single" w:color="auto" w:sz="4" w:space="0"/>
              <w:right w:val="single" w:color="auto" w:sz="4" w:space="0"/>
            </w:tcBorders>
            <w:shd w:val="clear" w:color="auto" w:fill="auto"/>
            <w:noWrap/>
            <w:vAlign w:val="center"/>
            <w:hideMark/>
          </w:tcPr>
          <w:p w:rsidRPr="00CF05EE" w:rsidR="00DE28C3" w:rsidP="003049C1" w:rsidRDefault="00DE28C3">
            <w:pPr>
              <w:overflowPunct/>
              <w:autoSpaceDE/>
              <w:autoSpaceDN/>
              <w:adjustRightInd/>
              <w:jc w:val="left"/>
              <w:textAlignment w:val="auto"/>
              <w:rPr>
                <w:rFonts w:ascii="Verdana" w:hAnsi="Verdana"/>
                <w:szCs w:val="18"/>
                <w:lang w:eastAsia="en-GB"/>
              </w:rPr>
            </w:pPr>
            <w:r w:rsidRPr="00CF05EE">
              <w:rPr>
                <w:rFonts w:ascii="Verdana" w:hAnsi="Verdana"/>
                <w:szCs w:val="18"/>
                <w:lang w:eastAsia="en-GB"/>
              </w:rPr>
              <w:t>10-Dec-12</w:t>
            </w:r>
          </w:p>
        </w:tc>
        <w:tc>
          <w:tcPr>
            <w:tcW w:w="0" w:type="auto"/>
            <w:tcBorders>
              <w:top w:val="nil"/>
              <w:left w:val="nil"/>
              <w:bottom w:val="single" w:color="auto" w:sz="4" w:space="0"/>
              <w:right w:val="single" w:color="auto" w:sz="8" w:space="0"/>
            </w:tcBorders>
            <w:shd w:val="clear" w:color="auto" w:fill="auto"/>
            <w:vAlign w:val="center"/>
            <w:hideMark/>
          </w:tcPr>
          <w:p w:rsidRPr="002D4086" w:rsidR="00DE28C3" w:rsidP="00CF05EE" w:rsidRDefault="00DE28C3">
            <w:pPr>
              <w:overflowPunct/>
              <w:autoSpaceDE/>
              <w:autoSpaceDN/>
              <w:adjustRightInd/>
              <w:jc w:val="center"/>
              <w:textAlignment w:val="auto"/>
              <w:rPr>
                <w:rFonts w:ascii="Verdana" w:hAnsi="Verdana"/>
                <w:color w:val="000000"/>
                <w:szCs w:val="18"/>
                <w:lang w:eastAsia="en-GB"/>
              </w:rPr>
            </w:pPr>
          </w:p>
        </w:tc>
      </w:tr>
      <w:tr w:rsidRPr="002D4086" w:rsidR="00DE28C3" w:rsidTr="00CF05EE">
        <w:trPr>
          <w:trHeight w:val="300"/>
        </w:trPr>
        <w:tc>
          <w:tcPr>
            <w:tcW w:w="0" w:type="auto"/>
            <w:tcBorders>
              <w:top w:val="nil"/>
              <w:left w:val="single" w:color="auto" w:sz="8" w:space="0"/>
              <w:bottom w:val="single" w:color="auto" w:sz="4" w:space="0"/>
              <w:right w:val="single" w:color="auto" w:sz="4" w:space="0"/>
            </w:tcBorders>
            <w:shd w:val="clear" w:color="auto" w:fill="auto"/>
            <w:vAlign w:val="center"/>
            <w:hideMark/>
          </w:tcPr>
          <w:p w:rsidRPr="002D4086" w:rsidR="00DE28C3" w:rsidP="003049C1" w:rsidRDefault="00DE28C3">
            <w:pPr>
              <w:overflowPunct/>
              <w:autoSpaceDE/>
              <w:autoSpaceDN/>
              <w:adjustRightInd/>
              <w:jc w:val="left"/>
              <w:textAlignment w:val="auto"/>
              <w:rPr>
                <w:rFonts w:ascii="Verdana" w:hAnsi="Verdana"/>
                <w:color w:val="000000"/>
                <w:szCs w:val="18"/>
                <w:lang w:eastAsia="en-GB"/>
              </w:rPr>
            </w:pPr>
            <w:r w:rsidRPr="002D4086">
              <w:rPr>
                <w:rFonts w:ascii="Verdana" w:hAnsi="Verdana"/>
                <w:color w:val="000000"/>
                <w:szCs w:val="18"/>
                <w:lang w:eastAsia="en-GB"/>
              </w:rPr>
              <w:t>Shamsul Hoque</w:t>
            </w:r>
          </w:p>
        </w:tc>
        <w:tc>
          <w:tcPr>
            <w:tcW w:w="0" w:type="auto"/>
            <w:tcBorders>
              <w:top w:val="nil"/>
              <w:left w:val="nil"/>
              <w:bottom w:val="single" w:color="auto" w:sz="4" w:space="0"/>
              <w:right w:val="single" w:color="auto" w:sz="4" w:space="0"/>
            </w:tcBorders>
            <w:shd w:val="clear" w:color="auto" w:fill="auto"/>
            <w:vAlign w:val="center"/>
            <w:hideMark/>
          </w:tcPr>
          <w:p w:rsidRPr="002D4086" w:rsidR="00DE28C3" w:rsidP="003049C1" w:rsidRDefault="00DE28C3">
            <w:pPr>
              <w:overflowPunct/>
              <w:autoSpaceDE/>
              <w:autoSpaceDN/>
              <w:adjustRightInd/>
              <w:jc w:val="left"/>
              <w:textAlignment w:val="auto"/>
              <w:rPr>
                <w:rFonts w:ascii="Verdana" w:hAnsi="Verdana"/>
                <w:color w:val="000000"/>
                <w:szCs w:val="18"/>
                <w:lang w:eastAsia="en-GB"/>
              </w:rPr>
            </w:pPr>
            <w:r w:rsidRPr="002D4086">
              <w:rPr>
                <w:rFonts w:ascii="Verdana" w:hAnsi="Verdana"/>
                <w:color w:val="000000"/>
                <w:szCs w:val="18"/>
                <w:lang w:eastAsia="en-GB"/>
              </w:rPr>
              <w:t>Resident</w:t>
            </w:r>
          </w:p>
        </w:tc>
        <w:tc>
          <w:tcPr>
            <w:tcW w:w="0" w:type="auto"/>
            <w:tcBorders>
              <w:top w:val="nil"/>
              <w:left w:val="nil"/>
              <w:bottom w:val="single" w:color="auto" w:sz="4" w:space="0"/>
              <w:right w:val="single" w:color="auto" w:sz="4" w:space="0"/>
            </w:tcBorders>
            <w:shd w:val="clear" w:color="auto" w:fill="auto"/>
            <w:noWrap/>
            <w:vAlign w:val="center"/>
            <w:hideMark/>
          </w:tcPr>
          <w:p w:rsidRPr="00CF05EE" w:rsidR="00DE28C3" w:rsidP="003049C1" w:rsidRDefault="00CF05EE">
            <w:pPr>
              <w:overflowPunct/>
              <w:autoSpaceDE/>
              <w:autoSpaceDN/>
              <w:adjustRightInd/>
              <w:jc w:val="left"/>
              <w:textAlignment w:val="auto"/>
              <w:rPr>
                <w:rFonts w:ascii="Verdana" w:hAnsi="Verdana"/>
                <w:szCs w:val="18"/>
                <w:lang w:eastAsia="en-GB"/>
              </w:rPr>
            </w:pPr>
            <w:r w:rsidRPr="00CF05EE">
              <w:rPr>
                <w:rFonts w:ascii="Verdana" w:hAnsi="Verdana"/>
                <w:szCs w:val="18"/>
                <w:lang w:eastAsia="en-GB"/>
              </w:rPr>
              <w:t>03-Jul-08</w:t>
            </w:r>
          </w:p>
        </w:tc>
        <w:tc>
          <w:tcPr>
            <w:tcW w:w="0" w:type="auto"/>
            <w:tcBorders>
              <w:top w:val="nil"/>
              <w:left w:val="nil"/>
              <w:bottom w:val="single" w:color="auto" w:sz="4" w:space="0"/>
              <w:right w:val="single" w:color="auto" w:sz="8" w:space="0"/>
            </w:tcBorders>
            <w:shd w:val="clear" w:color="auto" w:fill="auto"/>
            <w:vAlign w:val="center"/>
            <w:hideMark/>
          </w:tcPr>
          <w:p w:rsidRPr="002D4086" w:rsidR="00DE28C3" w:rsidP="00CF05EE" w:rsidRDefault="002C53AE">
            <w:pPr>
              <w:overflowPunct/>
              <w:autoSpaceDE/>
              <w:autoSpaceDN/>
              <w:adjustRightInd/>
              <w:jc w:val="center"/>
              <w:textAlignment w:val="auto"/>
              <w:rPr>
                <w:rFonts w:ascii="Verdana" w:hAnsi="Verdana"/>
                <w:color w:val="000000"/>
                <w:szCs w:val="18"/>
                <w:lang w:eastAsia="en-GB"/>
              </w:rPr>
            </w:pPr>
            <w:r>
              <w:rPr>
                <w:rFonts w:ascii="Verdana" w:hAnsi="Verdana"/>
                <w:color w:val="000000"/>
                <w:szCs w:val="18"/>
                <w:lang w:eastAsia="en-GB"/>
              </w:rPr>
              <w:t>18-Dec-</w:t>
            </w:r>
            <w:r w:rsidRPr="002C53AE">
              <w:rPr>
                <w:rFonts w:ascii="Verdana" w:hAnsi="Verdana"/>
                <w:color w:val="000000"/>
                <w:szCs w:val="18"/>
                <w:lang w:eastAsia="en-GB"/>
              </w:rPr>
              <w:t>17</w:t>
            </w:r>
          </w:p>
        </w:tc>
      </w:tr>
      <w:tr w:rsidRPr="002D4086" w:rsidR="00DE28C3" w:rsidTr="00CF05EE">
        <w:trPr>
          <w:trHeight w:val="300"/>
        </w:trPr>
        <w:tc>
          <w:tcPr>
            <w:tcW w:w="0" w:type="auto"/>
            <w:tcBorders>
              <w:top w:val="nil"/>
              <w:left w:val="single" w:color="auto" w:sz="8" w:space="0"/>
              <w:bottom w:val="single" w:color="auto" w:sz="4" w:space="0"/>
              <w:right w:val="single" w:color="auto" w:sz="4" w:space="0"/>
            </w:tcBorders>
            <w:shd w:val="clear" w:color="auto" w:fill="auto"/>
            <w:vAlign w:val="center"/>
            <w:hideMark/>
          </w:tcPr>
          <w:p w:rsidRPr="002D4086" w:rsidR="00DE28C3" w:rsidP="003049C1" w:rsidRDefault="00DE28C3">
            <w:pPr>
              <w:overflowPunct/>
              <w:autoSpaceDE/>
              <w:autoSpaceDN/>
              <w:adjustRightInd/>
              <w:jc w:val="left"/>
              <w:textAlignment w:val="auto"/>
              <w:rPr>
                <w:rFonts w:ascii="Verdana" w:hAnsi="Verdana"/>
                <w:color w:val="000000"/>
                <w:szCs w:val="18"/>
                <w:lang w:eastAsia="en-GB"/>
              </w:rPr>
            </w:pPr>
            <w:r w:rsidRPr="002D4086">
              <w:rPr>
                <w:rFonts w:ascii="Verdana" w:hAnsi="Verdana"/>
                <w:color w:val="000000"/>
                <w:szCs w:val="18"/>
                <w:lang w:eastAsia="en-GB"/>
              </w:rPr>
              <w:t>Claire Tuffin</w:t>
            </w:r>
          </w:p>
        </w:tc>
        <w:tc>
          <w:tcPr>
            <w:tcW w:w="0" w:type="auto"/>
            <w:tcBorders>
              <w:top w:val="nil"/>
              <w:left w:val="nil"/>
              <w:bottom w:val="single" w:color="auto" w:sz="4" w:space="0"/>
              <w:right w:val="single" w:color="auto" w:sz="4" w:space="0"/>
            </w:tcBorders>
            <w:shd w:val="clear" w:color="auto" w:fill="auto"/>
            <w:vAlign w:val="center"/>
            <w:hideMark/>
          </w:tcPr>
          <w:p w:rsidRPr="002D4086" w:rsidR="00DE28C3" w:rsidP="003049C1" w:rsidRDefault="00DE28C3">
            <w:pPr>
              <w:overflowPunct/>
              <w:autoSpaceDE/>
              <w:autoSpaceDN/>
              <w:adjustRightInd/>
              <w:jc w:val="left"/>
              <w:textAlignment w:val="auto"/>
              <w:rPr>
                <w:rFonts w:ascii="Verdana" w:hAnsi="Verdana"/>
                <w:color w:val="000000"/>
                <w:szCs w:val="18"/>
                <w:lang w:eastAsia="en-GB"/>
              </w:rPr>
            </w:pPr>
            <w:r w:rsidRPr="002D4086">
              <w:rPr>
                <w:rFonts w:ascii="Verdana" w:hAnsi="Verdana"/>
                <w:color w:val="000000"/>
                <w:szCs w:val="18"/>
                <w:lang w:eastAsia="en-GB"/>
              </w:rPr>
              <w:t>Resident</w:t>
            </w:r>
          </w:p>
        </w:tc>
        <w:tc>
          <w:tcPr>
            <w:tcW w:w="0" w:type="auto"/>
            <w:tcBorders>
              <w:top w:val="nil"/>
              <w:left w:val="nil"/>
              <w:bottom w:val="single" w:color="auto" w:sz="4" w:space="0"/>
              <w:right w:val="single" w:color="auto" w:sz="4" w:space="0"/>
            </w:tcBorders>
            <w:shd w:val="clear" w:color="auto" w:fill="auto"/>
            <w:noWrap/>
            <w:vAlign w:val="center"/>
            <w:hideMark/>
          </w:tcPr>
          <w:p w:rsidRPr="00CF05EE" w:rsidR="00DE28C3" w:rsidP="003049C1" w:rsidRDefault="00DE28C3">
            <w:pPr>
              <w:overflowPunct/>
              <w:autoSpaceDE/>
              <w:autoSpaceDN/>
              <w:adjustRightInd/>
              <w:jc w:val="left"/>
              <w:textAlignment w:val="auto"/>
              <w:rPr>
                <w:rFonts w:ascii="Verdana" w:hAnsi="Verdana"/>
                <w:szCs w:val="18"/>
                <w:lang w:eastAsia="en-GB"/>
              </w:rPr>
            </w:pPr>
            <w:r w:rsidRPr="00CF05EE">
              <w:rPr>
                <w:rFonts w:ascii="Verdana" w:hAnsi="Verdana"/>
                <w:szCs w:val="18"/>
                <w:lang w:eastAsia="en-GB"/>
              </w:rPr>
              <w:t>06-Mar-13</w:t>
            </w:r>
          </w:p>
        </w:tc>
        <w:tc>
          <w:tcPr>
            <w:tcW w:w="0" w:type="auto"/>
            <w:tcBorders>
              <w:top w:val="nil"/>
              <w:left w:val="nil"/>
              <w:bottom w:val="single" w:color="auto" w:sz="4" w:space="0"/>
              <w:right w:val="single" w:color="auto" w:sz="8" w:space="0"/>
            </w:tcBorders>
            <w:shd w:val="clear" w:color="auto" w:fill="auto"/>
            <w:vAlign w:val="center"/>
            <w:hideMark/>
          </w:tcPr>
          <w:p w:rsidRPr="002D4086" w:rsidR="00DE28C3" w:rsidP="00CF05EE" w:rsidRDefault="00DE28C3">
            <w:pPr>
              <w:overflowPunct/>
              <w:autoSpaceDE/>
              <w:autoSpaceDN/>
              <w:adjustRightInd/>
              <w:jc w:val="center"/>
              <w:textAlignment w:val="auto"/>
              <w:rPr>
                <w:rFonts w:ascii="Verdana" w:hAnsi="Verdana"/>
                <w:color w:val="000000"/>
                <w:szCs w:val="18"/>
                <w:lang w:eastAsia="en-GB"/>
              </w:rPr>
            </w:pPr>
          </w:p>
        </w:tc>
      </w:tr>
      <w:tr w:rsidRPr="002D4086" w:rsidR="00DE28C3" w:rsidTr="00CF05EE">
        <w:trPr>
          <w:trHeight w:val="300"/>
        </w:trPr>
        <w:tc>
          <w:tcPr>
            <w:tcW w:w="0" w:type="auto"/>
            <w:tcBorders>
              <w:top w:val="nil"/>
              <w:left w:val="single" w:color="auto" w:sz="8" w:space="0"/>
              <w:bottom w:val="single" w:color="auto" w:sz="4" w:space="0"/>
              <w:right w:val="single" w:color="auto" w:sz="4" w:space="0"/>
            </w:tcBorders>
            <w:shd w:val="clear" w:color="auto" w:fill="auto"/>
            <w:vAlign w:val="center"/>
            <w:hideMark/>
          </w:tcPr>
          <w:p w:rsidRPr="002D4086" w:rsidR="00DE28C3" w:rsidP="003049C1" w:rsidRDefault="00DE28C3">
            <w:pPr>
              <w:overflowPunct/>
              <w:autoSpaceDE/>
              <w:autoSpaceDN/>
              <w:adjustRightInd/>
              <w:jc w:val="left"/>
              <w:textAlignment w:val="auto"/>
              <w:rPr>
                <w:rFonts w:ascii="Verdana" w:hAnsi="Verdana"/>
                <w:color w:val="000000"/>
                <w:szCs w:val="18"/>
                <w:lang w:eastAsia="en-GB"/>
              </w:rPr>
            </w:pPr>
            <w:r w:rsidRPr="002D4086">
              <w:rPr>
                <w:rFonts w:ascii="Verdana" w:hAnsi="Verdana"/>
                <w:color w:val="000000"/>
                <w:szCs w:val="18"/>
                <w:lang w:eastAsia="en-GB"/>
              </w:rPr>
              <w:t>Caroline Compton-James</w:t>
            </w:r>
          </w:p>
        </w:tc>
        <w:tc>
          <w:tcPr>
            <w:tcW w:w="0" w:type="auto"/>
            <w:tcBorders>
              <w:top w:val="nil"/>
              <w:left w:val="nil"/>
              <w:bottom w:val="single" w:color="auto" w:sz="4" w:space="0"/>
              <w:right w:val="single" w:color="auto" w:sz="4" w:space="0"/>
            </w:tcBorders>
            <w:shd w:val="clear" w:color="auto" w:fill="auto"/>
            <w:vAlign w:val="center"/>
            <w:hideMark/>
          </w:tcPr>
          <w:p w:rsidRPr="002D4086" w:rsidR="00DE28C3" w:rsidP="003049C1" w:rsidRDefault="00DE28C3">
            <w:pPr>
              <w:overflowPunct/>
              <w:autoSpaceDE/>
              <w:autoSpaceDN/>
              <w:adjustRightInd/>
              <w:jc w:val="left"/>
              <w:textAlignment w:val="auto"/>
              <w:rPr>
                <w:rFonts w:ascii="Verdana" w:hAnsi="Verdana"/>
                <w:color w:val="000000"/>
                <w:szCs w:val="18"/>
                <w:lang w:eastAsia="en-GB"/>
              </w:rPr>
            </w:pPr>
            <w:r w:rsidRPr="002D4086">
              <w:rPr>
                <w:rFonts w:ascii="Verdana" w:hAnsi="Verdana"/>
                <w:color w:val="000000"/>
                <w:szCs w:val="18"/>
                <w:lang w:eastAsia="en-GB"/>
              </w:rPr>
              <w:t>Independent</w:t>
            </w:r>
          </w:p>
        </w:tc>
        <w:tc>
          <w:tcPr>
            <w:tcW w:w="0" w:type="auto"/>
            <w:tcBorders>
              <w:top w:val="nil"/>
              <w:left w:val="nil"/>
              <w:bottom w:val="single" w:color="auto" w:sz="4" w:space="0"/>
              <w:right w:val="single" w:color="auto" w:sz="4" w:space="0"/>
            </w:tcBorders>
            <w:shd w:val="clear" w:color="auto" w:fill="auto"/>
            <w:noWrap/>
            <w:vAlign w:val="center"/>
            <w:hideMark/>
          </w:tcPr>
          <w:p w:rsidRPr="00CF05EE" w:rsidR="00DE28C3" w:rsidP="003049C1" w:rsidRDefault="00DE28C3">
            <w:pPr>
              <w:overflowPunct/>
              <w:autoSpaceDE/>
              <w:autoSpaceDN/>
              <w:adjustRightInd/>
              <w:jc w:val="left"/>
              <w:textAlignment w:val="auto"/>
              <w:rPr>
                <w:rFonts w:ascii="Verdana" w:hAnsi="Verdana"/>
                <w:szCs w:val="18"/>
                <w:lang w:eastAsia="en-GB"/>
              </w:rPr>
            </w:pPr>
            <w:r w:rsidRPr="00CF05EE">
              <w:rPr>
                <w:rFonts w:ascii="Verdana" w:hAnsi="Verdana"/>
                <w:szCs w:val="18"/>
                <w:lang w:eastAsia="en-GB"/>
              </w:rPr>
              <w:t>10-Sep-15</w:t>
            </w:r>
          </w:p>
        </w:tc>
        <w:tc>
          <w:tcPr>
            <w:tcW w:w="0" w:type="auto"/>
            <w:tcBorders>
              <w:top w:val="nil"/>
              <w:left w:val="nil"/>
              <w:bottom w:val="single" w:color="auto" w:sz="4" w:space="0"/>
              <w:right w:val="single" w:color="auto" w:sz="8" w:space="0"/>
            </w:tcBorders>
            <w:shd w:val="clear" w:color="auto" w:fill="auto"/>
            <w:vAlign w:val="center"/>
            <w:hideMark/>
          </w:tcPr>
          <w:p w:rsidRPr="002D4086" w:rsidR="00DE28C3" w:rsidP="00CF05EE" w:rsidRDefault="00DE28C3">
            <w:pPr>
              <w:overflowPunct/>
              <w:autoSpaceDE/>
              <w:autoSpaceDN/>
              <w:adjustRightInd/>
              <w:jc w:val="center"/>
              <w:textAlignment w:val="auto"/>
              <w:rPr>
                <w:rFonts w:ascii="Verdana" w:hAnsi="Verdana"/>
                <w:color w:val="000000"/>
                <w:szCs w:val="18"/>
                <w:lang w:eastAsia="en-GB"/>
              </w:rPr>
            </w:pPr>
          </w:p>
        </w:tc>
      </w:tr>
      <w:tr w:rsidRPr="002D4086" w:rsidR="00DE28C3" w:rsidTr="00CF05EE">
        <w:trPr>
          <w:trHeight w:val="300"/>
        </w:trPr>
        <w:tc>
          <w:tcPr>
            <w:tcW w:w="0" w:type="auto"/>
            <w:tcBorders>
              <w:top w:val="nil"/>
              <w:left w:val="single" w:color="auto" w:sz="8" w:space="0"/>
              <w:bottom w:val="single" w:color="auto" w:sz="4" w:space="0"/>
              <w:right w:val="single" w:color="auto" w:sz="4" w:space="0"/>
            </w:tcBorders>
            <w:shd w:val="clear" w:color="auto" w:fill="auto"/>
            <w:vAlign w:val="center"/>
            <w:hideMark/>
          </w:tcPr>
          <w:p w:rsidRPr="002D4086" w:rsidR="00DE28C3" w:rsidP="003049C1" w:rsidRDefault="00DE28C3">
            <w:pPr>
              <w:overflowPunct/>
              <w:autoSpaceDE/>
              <w:autoSpaceDN/>
              <w:adjustRightInd/>
              <w:jc w:val="left"/>
              <w:textAlignment w:val="auto"/>
              <w:rPr>
                <w:rFonts w:ascii="Verdana" w:hAnsi="Verdana"/>
                <w:color w:val="000000"/>
                <w:szCs w:val="18"/>
                <w:lang w:eastAsia="en-GB"/>
              </w:rPr>
            </w:pPr>
            <w:r w:rsidRPr="002D4086">
              <w:rPr>
                <w:rFonts w:ascii="Verdana" w:hAnsi="Verdana"/>
                <w:color w:val="000000"/>
                <w:szCs w:val="18"/>
                <w:lang w:eastAsia="en-GB"/>
              </w:rPr>
              <w:t>Andrew Bond</w:t>
            </w:r>
          </w:p>
        </w:tc>
        <w:tc>
          <w:tcPr>
            <w:tcW w:w="0" w:type="auto"/>
            <w:tcBorders>
              <w:top w:val="nil"/>
              <w:left w:val="nil"/>
              <w:bottom w:val="single" w:color="auto" w:sz="4" w:space="0"/>
              <w:right w:val="single" w:color="auto" w:sz="4" w:space="0"/>
            </w:tcBorders>
            <w:shd w:val="clear" w:color="auto" w:fill="auto"/>
            <w:vAlign w:val="center"/>
            <w:hideMark/>
          </w:tcPr>
          <w:p w:rsidRPr="002D4086" w:rsidR="00DE28C3" w:rsidP="003049C1" w:rsidRDefault="00DE28C3">
            <w:pPr>
              <w:overflowPunct/>
              <w:autoSpaceDE/>
              <w:autoSpaceDN/>
              <w:adjustRightInd/>
              <w:jc w:val="left"/>
              <w:textAlignment w:val="auto"/>
              <w:rPr>
                <w:rFonts w:ascii="Verdana" w:hAnsi="Verdana"/>
                <w:color w:val="000000"/>
                <w:szCs w:val="18"/>
                <w:lang w:eastAsia="en-GB"/>
              </w:rPr>
            </w:pPr>
            <w:r w:rsidRPr="002D4086">
              <w:rPr>
                <w:rFonts w:ascii="Verdana" w:hAnsi="Verdana"/>
                <w:color w:val="000000"/>
                <w:szCs w:val="18"/>
                <w:lang w:eastAsia="en-GB"/>
              </w:rPr>
              <w:t>Independent</w:t>
            </w:r>
          </w:p>
        </w:tc>
        <w:tc>
          <w:tcPr>
            <w:tcW w:w="0" w:type="auto"/>
            <w:tcBorders>
              <w:top w:val="nil"/>
              <w:left w:val="nil"/>
              <w:bottom w:val="single" w:color="auto" w:sz="4" w:space="0"/>
              <w:right w:val="single" w:color="auto" w:sz="4" w:space="0"/>
            </w:tcBorders>
            <w:shd w:val="clear" w:color="auto" w:fill="auto"/>
            <w:noWrap/>
            <w:vAlign w:val="center"/>
            <w:hideMark/>
          </w:tcPr>
          <w:p w:rsidRPr="00CF05EE" w:rsidR="00DE28C3" w:rsidP="003049C1" w:rsidRDefault="00DE28C3">
            <w:pPr>
              <w:overflowPunct/>
              <w:autoSpaceDE/>
              <w:autoSpaceDN/>
              <w:adjustRightInd/>
              <w:jc w:val="left"/>
              <w:textAlignment w:val="auto"/>
              <w:rPr>
                <w:rFonts w:ascii="Verdana" w:hAnsi="Verdana"/>
                <w:szCs w:val="18"/>
                <w:lang w:eastAsia="en-GB"/>
              </w:rPr>
            </w:pPr>
            <w:r w:rsidRPr="00CF05EE">
              <w:rPr>
                <w:rFonts w:ascii="Verdana" w:hAnsi="Verdana"/>
                <w:szCs w:val="18"/>
                <w:lang w:eastAsia="en-GB"/>
              </w:rPr>
              <w:t>10-Sep-15</w:t>
            </w:r>
          </w:p>
        </w:tc>
        <w:tc>
          <w:tcPr>
            <w:tcW w:w="0" w:type="auto"/>
            <w:tcBorders>
              <w:top w:val="nil"/>
              <w:left w:val="nil"/>
              <w:bottom w:val="single" w:color="auto" w:sz="4" w:space="0"/>
              <w:right w:val="single" w:color="auto" w:sz="8" w:space="0"/>
            </w:tcBorders>
            <w:shd w:val="clear" w:color="auto" w:fill="auto"/>
            <w:vAlign w:val="center"/>
            <w:hideMark/>
          </w:tcPr>
          <w:p w:rsidRPr="002D4086" w:rsidR="00DE28C3" w:rsidP="00CF05EE" w:rsidRDefault="00DE28C3">
            <w:pPr>
              <w:overflowPunct/>
              <w:autoSpaceDE/>
              <w:autoSpaceDN/>
              <w:adjustRightInd/>
              <w:jc w:val="center"/>
              <w:textAlignment w:val="auto"/>
              <w:rPr>
                <w:rFonts w:ascii="Verdana" w:hAnsi="Verdana"/>
                <w:color w:val="000000"/>
                <w:szCs w:val="18"/>
                <w:lang w:eastAsia="en-GB"/>
              </w:rPr>
            </w:pPr>
          </w:p>
        </w:tc>
      </w:tr>
      <w:tr w:rsidRPr="002D4086" w:rsidR="00CF05EE" w:rsidTr="00CF05EE">
        <w:trPr>
          <w:trHeight w:val="300"/>
        </w:trPr>
        <w:tc>
          <w:tcPr>
            <w:tcW w:w="0" w:type="auto"/>
            <w:tcBorders>
              <w:top w:val="nil"/>
              <w:left w:val="single" w:color="auto" w:sz="8" w:space="0"/>
              <w:bottom w:val="single" w:color="auto" w:sz="4" w:space="0"/>
              <w:right w:val="single" w:color="auto" w:sz="4" w:space="0"/>
            </w:tcBorders>
            <w:shd w:val="clear" w:color="auto" w:fill="auto"/>
            <w:vAlign w:val="center"/>
          </w:tcPr>
          <w:p w:rsidRPr="002D4086" w:rsidR="00CF05EE" w:rsidP="003049C1" w:rsidRDefault="00CF05EE">
            <w:pPr>
              <w:overflowPunct/>
              <w:autoSpaceDE/>
              <w:autoSpaceDN/>
              <w:adjustRightInd/>
              <w:jc w:val="left"/>
              <w:textAlignment w:val="auto"/>
              <w:rPr>
                <w:rFonts w:ascii="Verdana" w:hAnsi="Verdana"/>
                <w:color w:val="000000"/>
                <w:szCs w:val="18"/>
                <w:lang w:eastAsia="en-GB"/>
              </w:rPr>
            </w:pPr>
            <w:r>
              <w:rPr>
                <w:rFonts w:ascii="Verdana" w:hAnsi="Verdana"/>
                <w:color w:val="000000"/>
                <w:szCs w:val="18"/>
                <w:lang w:eastAsia="en-GB"/>
              </w:rPr>
              <w:t>Safia Jama</w:t>
            </w:r>
          </w:p>
        </w:tc>
        <w:tc>
          <w:tcPr>
            <w:tcW w:w="0" w:type="auto"/>
            <w:tcBorders>
              <w:top w:val="nil"/>
              <w:left w:val="nil"/>
              <w:bottom w:val="single" w:color="auto" w:sz="4" w:space="0"/>
              <w:right w:val="single" w:color="auto" w:sz="4" w:space="0"/>
            </w:tcBorders>
            <w:shd w:val="clear" w:color="auto" w:fill="auto"/>
            <w:vAlign w:val="center"/>
          </w:tcPr>
          <w:p w:rsidRPr="002D4086" w:rsidR="00CF05EE" w:rsidP="003049C1" w:rsidRDefault="00CF05EE">
            <w:pPr>
              <w:overflowPunct/>
              <w:autoSpaceDE/>
              <w:autoSpaceDN/>
              <w:adjustRightInd/>
              <w:jc w:val="left"/>
              <w:textAlignment w:val="auto"/>
              <w:rPr>
                <w:rFonts w:ascii="Verdana" w:hAnsi="Verdana"/>
                <w:color w:val="000000"/>
                <w:szCs w:val="18"/>
                <w:lang w:eastAsia="en-GB"/>
              </w:rPr>
            </w:pPr>
            <w:r>
              <w:rPr>
                <w:rFonts w:ascii="Verdana" w:hAnsi="Verdana"/>
                <w:color w:val="000000"/>
                <w:szCs w:val="18"/>
                <w:lang w:eastAsia="en-GB"/>
              </w:rPr>
              <w:t>Independent</w:t>
            </w:r>
          </w:p>
        </w:tc>
        <w:tc>
          <w:tcPr>
            <w:tcW w:w="0" w:type="auto"/>
            <w:tcBorders>
              <w:top w:val="nil"/>
              <w:left w:val="nil"/>
              <w:bottom w:val="single" w:color="auto" w:sz="4" w:space="0"/>
              <w:right w:val="single" w:color="auto" w:sz="4" w:space="0"/>
            </w:tcBorders>
            <w:shd w:val="clear" w:color="auto" w:fill="auto"/>
            <w:noWrap/>
            <w:vAlign w:val="center"/>
          </w:tcPr>
          <w:p w:rsidRPr="00CF05EE" w:rsidR="00CF05EE" w:rsidP="003049C1" w:rsidRDefault="00CF05EE">
            <w:pPr>
              <w:overflowPunct/>
              <w:autoSpaceDE/>
              <w:autoSpaceDN/>
              <w:adjustRightInd/>
              <w:jc w:val="left"/>
              <w:textAlignment w:val="auto"/>
              <w:rPr>
                <w:rFonts w:ascii="Verdana" w:hAnsi="Verdana"/>
                <w:szCs w:val="18"/>
                <w:lang w:eastAsia="en-GB"/>
              </w:rPr>
            </w:pPr>
            <w:r w:rsidRPr="00CF05EE">
              <w:rPr>
                <w:rFonts w:ascii="Verdana" w:hAnsi="Verdana"/>
                <w:szCs w:val="18"/>
                <w:lang w:eastAsia="en-GB"/>
              </w:rPr>
              <w:t>06-May-16</w:t>
            </w:r>
          </w:p>
        </w:tc>
        <w:tc>
          <w:tcPr>
            <w:tcW w:w="0" w:type="auto"/>
            <w:tcBorders>
              <w:top w:val="nil"/>
              <w:left w:val="nil"/>
              <w:bottom w:val="single" w:color="auto" w:sz="4" w:space="0"/>
              <w:right w:val="single" w:color="auto" w:sz="8" w:space="0"/>
            </w:tcBorders>
            <w:shd w:val="clear" w:color="auto" w:fill="auto"/>
            <w:vAlign w:val="center"/>
          </w:tcPr>
          <w:p w:rsidRPr="002D4086" w:rsidR="00CF05EE" w:rsidP="00CF05EE" w:rsidRDefault="00CF05EE">
            <w:pPr>
              <w:overflowPunct/>
              <w:autoSpaceDE/>
              <w:autoSpaceDN/>
              <w:adjustRightInd/>
              <w:jc w:val="center"/>
              <w:textAlignment w:val="auto"/>
              <w:rPr>
                <w:rFonts w:ascii="Verdana" w:hAnsi="Verdana"/>
                <w:color w:val="000000"/>
                <w:szCs w:val="18"/>
                <w:lang w:eastAsia="en-GB"/>
              </w:rPr>
            </w:pPr>
          </w:p>
        </w:tc>
      </w:tr>
      <w:tr w:rsidRPr="002D4086" w:rsidR="00CF05EE" w:rsidTr="00CF05EE">
        <w:trPr>
          <w:trHeight w:val="300"/>
        </w:trPr>
        <w:tc>
          <w:tcPr>
            <w:tcW w:w="0" w:type="auto"/>
            <w:tcBorders>
              <w:top w:val="nil"/>
              <w:left w:val="single" w:color="auto" w:sz="8" w:space="0"/>
              <w:bottom w:val="single" w:color="auto" w:sz="4" w:space="0"/>
              <w:right w:val="single" w:color="auto" w:sz="4" w:space="0"/>
            </w:tcBorders>
            <w:shd w:val="clear" w:color="auto" w:fill="auto"/>
            <w:vAlign w:val="center"/>
            <w:hideMark/>
          </w:tcPr>
          <w:p w:rsidRPr="002D4086" w:rsidR="00CF05EE" w:rsidP="003049C1" w:rsidRDefault="00F5520C">
            <w:pPr>
              <w:overflowPunct/>
              <w:autoSpaceDE/>
              <w:autoSpaceDN/>
              <w:adjustRightInd/>
              <w:jc w:val="left"/>
              <w:textAlignment w:val="auto"/>
              <w:rPr>
                <w:rFonts w:ascii="Verdana" w:hAnsi="Verdana"/>
                <w:color w:val="000000"/>
                <w:szCs w:val="18"/>
                <w:lang w:eastAsia="en-GB"/>
              </w:rPr>
            </w:pPr>
            <w:r>
              <w:rPr>
                <w:rFonts w:ascii="Verdana" w:hAnsi="Verdana"/>
                <w:color w:val="000000"/>
                <w:szCs w:val="18"/>
                <w:lang w:eastAsia="en-GB"/>
              </w:rPr>
              <w:t>Cllr Sabina A</w:t>
            </w:r>
            <w:r w:rsidRPr="002D4086" w:rsidR="00CF05EE">
              <w:rPr>
                <w:rFonts w:ascii="Verdana" w:hAnsi="Verdana"/>
                <w:color w:val="000000"/>
                <w:szCs w:val="18"/>
                <w:lang w:eastAsia="en-GB"/>
              </w:rPr>
              <w:t>k</w:t>
            </w:r>
            <w:r>
              <w:rPr>
                <w:rFonts w:ascii="Verdana" w:hAnsi="Verdana"/>
                <w:color w:val="000000"/>
                <w:szCs w:val="18"/>
                <w:lang w:eastAsia="en-GB"/>
              </w:rPr>
              <w:t>h</w:t>
            </w:r>
            <w:r w:rsidRPr="002D4086" w:rsidR="00CF05EE">
              <w:rPr>
                <w:rFonts w:ascii="Verdana" w:hAnsi="Verdana"/>
                <w:color w:val="000000"/>
                <w:szCs w:val="18"/>
                <w:lang w:eastAsia="en-GB"/>
              </w:rPr>
              <w:t>tar</w:t>
            </w:r>
          </w:p>
        </w:tc>
        <w:tc>
          <w:tcPr>
            <w:tcW w:w="0" w:type="auto"/>
            <w:tcBorders>
              <w:top w:val="nil"/>
              <w:left w:val="nil"/>
              <w:bottom w:val="single" w:color="auto" w:sz="4" w:space="0"/>
              <w:right w:val="single" w:color="auto" w:sz="4" w:space="0"/>
            </w:tcBorders>
            <w:shd w:val="clear" w:color="auto" w:fill="auto"/>
            <w:vAlign w:val="center"/>
            <w:hideMark/>
          </w:tcPr>
          <w:p w:rsidRPr="002D4086" w:rsidR="00CF05EE" w:rsidP="003049C1" w:rsidRDefault="00CF05EE">
            <w:pPr>
              <w:overflowPunct/>
              <w:autoSpaceDE/>
              <w:autoSpaceDN/>
              <w:adjustRightInd/>
              <w:jc w:val="left"/>
              <w:textAlignment w:val="auto"/>
              <w:rPr>
                <w:rFonts w:ascii="Verdana" w:hAnsi="Verdana"/>
                <w:color w:val="000000"/>
                <w:szCs w:val="18"/>
                <w:lang w:eastAsia="en-GB"/>
              </w:rPr>
            </w:pPr>
            <w:r w:rsidRPr="002D4086">
              <w:rPr>
                <w:rFonts w:ascii="Verdana" w:hAnsi="Verdana"/>
                <w:color w:val="000000"/>
                <w:szCs w:val="18"/>
                <w:lang w:eastAsia="en-GB"/>
              </w:rPr>
              <w:t>Council</w:t>
            </w:r>
          </w:p>
        </w:tc>
        <w:tc>
          <w:tcPr>
            <w:tcW w:w="0" w:type="auto"/>
            <w:tcBorders>
              <w:top w:val="nil"/>
              <w:left w:val="nil"/>
              <w:bottom w:val="single" w:color="auto" w:sz="4" w:space="0"/>
              <w:right w:val="single" w:color="auto" w:sz="4" w:space="0"/>
            </w:tcBorders>
            <w:shd w:val="clear" w:color="auto" w:fill="auto"/>
            <w:noWrap/>
            <w:vAlign w:val="center"/>
            <w:hideMark/>
          </w:tcPr>
          <w:p w:rsidRPr="009A2BD0" w:rsidR="00CF05EE" w:rsidP="003049C1" w:rsidRDefault="00CF05EE">
            <w:pPr>
              <w:ind w:left="1664" w:hanging="1664"/>
              <w:jc w:val="left"/>
              <w:rPr>
                <w:rFonts w:ascii="Verdana" w:hAnsi="Verdana" w:eastAsia="Calibri" w:cs="Calibri"/>
                <w:szCs w:val="18"/>
                <w:lang w:eastAsia="en-GB"/>
              </w:rPr>
            </w:pPr>
            <w:r w:rsidRPr="00CF05EE">
              <w:rPr>
                <w:rFonts w:ascii="Verdana" w:hAnsi="Verdana"/>
                <w:szCs w:val="18"/>
                <w:lang w:eastAsia="en-GB"/>
              </w:rPr>
              <w:t>14-Jul-15</w:t>
            </w:r>
          </w:p>
        </w:tc>
        <w:tc>
          <w:tcPr>
            <w:tcW w:w="0" w:type="auto"/>
            <w:tcBorders>
              <w:top w:val="nil"/>
              <w:left w:val="nil"/>
              <w:bottom w:val="single" w:color="auto" w:sz="4" w:space="0"/>
              <w:right w:val="single" w:color="auto" w:sz="8" w:space="0"/>
            </w:tcBorders>
            <w:shd w:val="clear" w:color="auto" w:fill="auto"/>
            <w:vAlign w:val="center"/>
            <w:hideMark/>
          </w:tcPr>
          <w:p w:rsidRPr="002D4086" w:rsidR="00CF05EE" w:rsidP="00CF05EE" w:rsidRDefault="00CF05EE">
            <w:pPr>
              <w:overflowPunct/>
              <w:autoSpaceDE/>
              <w:autoSpaceDN/>
              <w:adjustRightInd/>
              <w:jc w:val="center"/>
              <w:textAlignment w:val="auto"/>
              <w:rPr>
                <w:rFonts w:ascii="Verdana" w:hAnsi="Verdana"/>
                <w:color w:val="000000"/>
                <w:szCs w:val="18"/>
                <w:lang w:eastAsia="en-GB"/>
              </w:rPr>
            </w:pPr>
          </w:p>
        </w:tc>
      </w:tr>
      <w:tr w:rsidRPr="002D4086" w:rsidR="00CF05EE" w:rsidTr="00CF05EE">
        <w:trPr>
          <w:trHeight w:val="300"/>
        </w:trPr>
        <w:tc>
          <w:tcPr>
            <w:tcW w:w="0" w:type="auto"/>
            <w:tcBorders>
              <w:top w:val="nil"/>
              <w:left w:val="single" w:color="auto" w:sz="8" w:space="0"/>
              <w:bottom w:val="single" w:color="auto" w:sz="4" w:space="0"/>
              <w:right w:val="single" w:color="auto" w:sz="4" w:space="0"/>
            </w:tcBorders>
            <w:shd w:val="clear" w:color="auto" w:fill="auto"/>
            <w:vAlign w:val="center"/>
            <w:hideMark/>
          </w:tcPr>
          <w:p w:rsidRPr="002D4086" w:rsidR="00CF05EE" w:rsidP="003049C1" w:rsidRDefault="00CF05EE">
            <w:pPr>
              <w:overflowPunct/>
              <w:autoSpaceDE/>
              <w:autoSpaceDN/>
              <w:adjustRightInd/>
              <w:jc w:val="left"/>
              <w:textAlignment w:val="auto"/>
              <w:rPr>
                <w:rFonts w:ascii="Verdana" w:hAnsi="Verdana"/>
                <w:color w:val="000000"/>
                <w:szCs w:val="18"/>
                <w:lang w:eastAsia="en-GB"/>
              </w:rPr>
            </w:pPr>
            <w:r w:rsidRPr="002D4086">
              <w:rPr>
                <w:rFonts w:ascii="Verdana" w:hAnsi="Verdana"/>
                <w:color w:val="000000"/>
                <w:szCs w:val="18"/>
                <w:lang w:eastAsia="en-GB"/>
              </w:rPr>
              <w:t>Cllr Marc Francis</w:t>
            </w:r>
          </w:p>
        </w:tc>
        <w:tc>
          <w:tcPr>
            <w:tcW w:w="0" w:type="auto"/>
            <w:tcBorders>
              <w:top w:val="nil"/>
              <w:left w:val="nil"/>
              <w:bottom w:val="single" w:color="auto" w:sz="4" w:space="0"/>
              <w:right w:val="single" w:color="auto" w:sz="4" w:space="0"/>
            </w:tcBorders>
            <w:shd w:val="clear" w:color="auto" w:fill="auto"/>
            <w:vAlign w:val="center"/>
            <w:hideMark/>
          </w:tcPr>
          <w:p w:rsidRPr="002D4086" w:rsidR="00CF05EE" w:rsidP="003049C1" w:rsidRDefault="00CF05EE">
            <w:pPr>
              <w:overflowPunct/>
              <w:autoSpaceDE/>
              <w:autoSpaceDN/>
              <w:adjustRightInd/>
              <w:jc w:val="left"/>
              <w:textAlignment w:val="auto"/>
              <w:rPr>
                <w:rFonts w:ascii="Verdana" w:hAnsi="Verdana"/>
                <w:color w:val="000000"/>
                <w:szCs w:val="18"/>
                <w:lang w:eastAsia="en-GB"/>
              </w:rPr>
            </w:pPr>
            <w:r w:rsidRPr="002D4086">
              <w:rPr>
                <w:rFonts w:ascii="Verdana" w:hAnsi="Verdana"/>
                <w:color w:val="000000"/>
                <w:szCs w:val="18"/>
                <w:lang w:eastAsia="en-GB"/>
              </w:rPr>
              <w:t>Council</w:t>
            </w:r>
          </w:p>
        </w:tc>
        <w:tc>
          <w:tcPr>
            <w:tcW w:w="0" w:type="auto"/>
            <w:tcBorders>
              <w:top w:val="nil"/>
              <w:left w:val="nil"/>
              <w:bottom w:val="single" w:color="auto" w:sz="4" w:space="0"/>
              <w:right w:val="single" w:color="auto" w:sz="4" w:space="0"/>
            </w:tcBorders>
            <w:shd w:val="clear" w:color="auto" w:fill="auto"/>
            <w:noWrap/>
            <w:vAlign w:val="center"/>
            <w:hideMark/>
          </w:tcPr>
          <w:p w:rsidRPr="009A2BD0" w:rsidR="00CF05EE" w:rsidP="003049C1" w:rsidRDefault="00CF05EE">
            <w:pPr>
              <w:ind w:left="1664" w:hanging="1664"/>
              <w:jc w:val="left"/>
              <w:rPr>
                <w:rFonts w:ascii="Verdana" w:hAnsi="Verdana" w:eastAsia="Calibri" w:cs="Calibri"/>
                <w:szCs w:val="18"/>
                <w:lang w:eastAsia="en-GB"/>
              </w:rPr>
            </w:pPr>
            <w:r w:rsidRPr="00CF05EE">
              <w:rPr>
                <w:rFonts w:ascii="Verdana" w:hAnsi="Verdana"/>
                <w:szCs w:val="18"/>
                <w:lang w:eastAsia="en-GB"/>
              </w:rPr>
              <w:t>14-Jul-15</w:t>
            </w:r>
          </w:p>
        </w:tc>
        <w:tc>
          <w:tcPr>
            <w:tcW w:w="0" w:type="auto"/>
            <w:tcBorders>
              <w:top w:val="nil"/>
              <w:left w:val="nil"/>
              <w:bottom w:val="single" w:color="auto" w:sz="4" w:space="0"/>
              <w:right w:val="single" w:color="auto" w:sz="8" w:space="0"/>
            </w:tcBorders>
            <w:shd w:val="clear" w:color="auto" w:fill="auto"/>
            <w:vAlign w:val="center"/>
            <w:hideMark/>
          </w:tcPr>
          <w:p w:rsidRPr="002D4086" w:rsidR="00CF05EE" w:rsidP="00CF05EE" w:rsidRDefault="00CF05EE">
            <w:pPr>
              <w:overflowPunct/>
              <w:autoSpaceDE/>
              <w:autoSpaceDN/>
              <w:adjustRightInd/>
              <w:jc w:val="center"/>
              <w:textAlignment w:val="auto"/>
              <w:rPr>
                <w:rFonts w:ascii="Verdana" w:hAnsi="Verdana"/>
                <w:color w:val="000000"/>
                <w:szCs w:val="18"/>
                <w:lang w:eastAsia="en-GB"/>
              </w:rPr>
            </w:pPr>
          </w:p>
        </w:tc>
      </w:tr>
      <w:tr w:rsidRPr="002D4086" w:rsidR="00CF05EE" w:rsidTr="00CF05EE">
        <w:trPr>
          <w:trHeight w:val="300"/>
        </w:trPr>
        <w:tc>
          <w:tcPr>
            <w:tcW w:w="0" w:type="auto"/>
            <w:tcBorders>
              <w:top w:val="nil"/>
              <w:left w:val="single" w:color="auto" w:sz="8" w:space="0"/>
              <w:bottom w:val="single" w:color="auto" w:sz="4" w:space="0"/>
              <w:right w:val="single" w:color="auto" w:sz="4" w:space="0"/>
            </w:tcBorders>
            <w:shd w:val="clear" w:color="auto" w:fill="auto"/>
            <w:vAlign w:val="center"/>
            <w:hideMark/>
          </w:tcPr>
          <w:p w:rsidRPr="002D4086" w:rsidR="00CF05EE" w:rsidP="003049C1" w:rsidRDefault="00CF05EE">
            <w:pPr>
              <w:overflowPunct/>
              <w:autoSpaceDE/>
              <w:autoSpaceDN/>
              <w:adjustRightInd/>
              <w:jc w:val="left"/>
              <w:textAlignment w:val="auto"/>
              <w:rPr>
                <w:rFonts w:ascii="Verdana" w:hAnsi="Verdana"/>
                <w:color w:val="000000"/>
                <w:szCs w:val="18"/>
                <w:lang w:eastAsia="en-GB"/>
              </w:rPr>
            </w:pPr>
            <w:r w:rsidRPr="002D4086">
              <w:rPr>
                <w:rFonts w:ascii="Verdana" w:hAnsi="Verdana"/>
                <w:color w:val="000000"/>
                <w:szCs w:val="18"/>
                <w:lang w:eastAsia="en-GB"/>
              </w:rPr>
              <w:t>Cllr John Pierce</w:t>
            </w:r>
          </w:p>
        </w:tc>
        <w:tc>
          <w:tcPr>
            <w:tcW w:w="0" w:type="auto"/>
            <w:tcBorders>
              <w:top w:val="nil"/>
              <w:left w:val="nil"/>
              <w:bottom w:val="single" w:color="auto" w:sz="4" w:space="0"/>
              <w:right w:val="single" w:color="auto" w:sz="4" w:space="0"/>
            </w:tcBorders>
            <w:shd w:val="clear" w:color="auto" w:fill="auto"/>
            <w:vAlign w:val="center"/>
            <w:hideMark/>
          </w:tcPr>
          <w:p w:rsidRPr="002D4086" w:rsidR="00CF05EE" w:rsidP="003049C1" w:rsidRDefault="00CF05EE">
            <w:pPr>
              <w:overflowPunct/>
              <w:autoSpaceDE/>
              <w:autoSpaceDN/>
              <w:adjustRightInd/>
              <w:jc w:val="left"/>
              <w:textAlignment w:val="auto"/>
              <w:rPr>
                <w:rFonts w:ascii="Verdana" w:hAnsi="Verdana"/>
                <w:color w:val="000000"/>
                <w:szCs w:val="18"/>
                <w:lang w:eastAsia="en-GB"/>
              </w:rPr>
            </w:pPr>
            <w:r w:rsidRPr="002D4086">
              <w:rPr>
                <w:rFonts w:ascii="Verdana" w:hAnsi="Verdana"/>
                <w:color w:val="000000"/>
                <w:szCs w:val="18"/>
                <w:lang w:eastAsia="en-GB"/>
              </w:rPr>
              <w:t>Council</w:t>
            </w:r>
          </w:p>
        </w:tc>
        <w:tc>
          <w:tcPr>
            <w:tcW w:w="0" w:type="auto"/>
            <w:tcBorders>
              <w:top w:val="nil"/>
              <w:left w:val="nil"/>
              <w:bottom w:val="single" w:color="auto" w:sz="4" w:space="0"/>
              <w:right w:val="single" w:color="auto" w:sz="4" w:space="0"/>
            </w:tcBorders>
            <w:shd w:val="clear" w:color="auto" w:fill="auto"/>
            <w:noWrap/>
            <w:vAlign w:val="center"/>
            <w:hideMark/>
          </w:tcPr>
          <w:p w:rsidRPr="009A2BD0" w:rsidR="00CF05EE" w:rsidP="003049C1" w:rsidRDefault="00CF05EE">
            <w:pPr>
              <w:ind w:left="1664" w:hanging="1664"/>
              <w:jc w:val="left"/>
              <w:rPr>
                <w:rFonts w:ascii="Verdana" w:hAnsi="Verdana" w:eastAsia="Calibri" w:cs="Calibri"/>
                <w:szCs w:val="18"/>
                <w:lang w:eastAsia="en-GB"/>
              </w:rPr>
            </w:pPr>
            <w:r w:rsidRPr="00CF05EE">
              <w:rPr>
                <w:rFonts w:ascii="Verdana" w:hAnsi="Verdana"/>
                <w:szCs w:val="18"/>
                <w:lang w:eastAsia="en-GB"/>
              </w:rPr>
              <w:t>14-Jul-15</w:t>
            </w:r>
          </w:p>
        </w:tc>
        <w:tc>
          <w:tcPr>
            <w:tcW w:w="0" w:type="auto"/>
            <w:tcBorders>
              <w:top w:val="nil"/>
              <w:left w:val="nil"/>
              <w:bottom w:val="single" w:color="auto" w:sz="4" w:space="0"/>
              <w:right w:val="single" w:color="auto" w:sz="8" w:space="0"/>
            </w:tcBorders>
            <w:shd w:val="clear" w:color="auto" w:fill="auto"/>
            <w:vAlign w:val="center"/>
            <w:hideMark/>
          </w:tcPr>
          <w:p w:rsidRPr="002D4086" w:rsidR="00CF05EE" w:rsidP="00CF05EE" w:rsidRDefault="00CF05EE">
            <w:pPr>
              <w:overflowPunct/>
              <w:autoSpaceDE/>
              <w:autoSpaceDN/>
              <w:adjustRightInd/>
              <w:jc w:val="center"/>
              <w:textAlignment w:val="auto"/>
              <w:rPr>
                <w:rFonts w:ascii="Verdana" w:hAnsi="Verdana"/>
                <w:color w:val="000000"/>
                <w:szCs w:val="18"/>
                <w:lang w:eastAsia="en-GB"/>
              </w:rPr>
            </w:pPr>
          </w:p>
        </w:tc>
      </w:tr>
      <w:tr w:rsidRPr="002D4086" w:rsidR="00CF05EE" w:rsidTr="00CF05EE">
        <w:trPr>
          <w:trHeight w:val="300"/>
        </w:trPr>
        <w:tc>
          <w:tcPr>
            <w:tcW w:w="0" w:type="auto"/>
            <w:tcBorders>
              <w:top w:val="nil"/>
              <w:left w:val="single" w:color="auto" w:sz="8" w:space="0"/>
              <w:bottom w:val="single" w:color="auto" w:sz="4" w:space="0"/>
              <w:right w:val="single" w:color="auto" w:sz="4" w:space="0"/>
            </w:tcBorders>
            <w:shd w:val="clear" w:color="auto" w:fill="auto"/>
            <w:vAlign w:val="center"/>
            <w:hideMark/>
          </w:tcPr>
          <w:p w:rsidRPr="002D4086" w:rsidR="00CF05EE" w:rsidP="003049C1" w:rsidRDefault="00CF05EE">
            <w:pPr>
              <w:overflowPunct/>
              <w:autoSpaceDE/>
              <w:autoSpaceDN/>
              <w:adjustRightInd/>
              <w:jc w:val="left"/>
              <w:textAlignment w:val="auto"/>
              <w:rPr>
                <w:rFonts w:ascii="Verdana" w:hAnsi="Verdana"/>
                <w:color w:val="000000"/>
                <w:szCs w:val="18"/>
                <w:lang w:eastAsia="en-GB"/>
              </w:rPr>
            </w:pPr>
            <w:r w:rsidRPr="002D4086">
              <w:rPr>
                <w:rFonts w:ascii="Verdana" w:hAnsi="Verdana"/>
                <w:color w:val="000000"/>
                <w:szCs w:val="18"/>
                <w:lang w:eastAsia="en-GB"/>
              </w:rPr>
              <w:t>Cllr Helal Uddin</w:t>
            </w:r>
          </w:p>
        </w:tc>
        <w:tc>
          <w:tcPr>
            <w:tcW w:w="0" w:type="auto"/>
            <w:tcBorders>
              <w:top w:val="nil"/>
              <w:left w:val="nil"/>
              <w:bottom w:val="single" w:color="auto" w:sz="4" w:space="0"/>
              <w:right w:val="single" w:color="auto" w:sz="4" w:space="0"/>
            </w:tcBorders>
            <w:shd w:val="clear" w:color="auto" w:fill="auto"/>
            <w:vAlign w:val="center"/>
            <w:hideMark/>
          </w:tcPr>
          <w:p w:rsidRPr="002D4086" w:rsidR="00CF05EE" w:rsidP="003049C1" w:rsidRDefault="00CF05EE">
            <w:pPr>
              <w:overflowPunct/>
              <w:autoSpaceDE/>
              <w:autoSpaceDN/>
              <w:adjustRightInd/>
              <w:jc w:val="left"/>
              <w:textAlignment w:val="auto"/>
              <w:rPr>
                <w:rFonts w:ascii="Verdana" w:hAnsi="Verdana"/>
                <w:color w:val="000000"/>
                <w:szCs w:val="18"/>
                <w:lang w:eastAsia="en-GB"/>
              </w:rPr>
            </w:pPr>
            <w:r w:rsidRPr="002D4086">
              <w:rPr>
                <w:rFonts w:ascii="Verdana" w:hAnsi="Verdana"/>
                <w:color w:val="000000"/>
                <w:szCs w:val="18"/>
                <w:lang w:eastAsia="en-GB"/>
              </w:rPr>
              <w:t>Council</w:t>
            </w:r>
          </w:p>
        </w:tc>
        <w:tc>
          <w:tcPr>
            <w:tcW w:w="0" w:type="auto"/>
            <w:tcBorders>
              <w:top w:val="nil"/>
              <w:left w:val="nil"/>
              <w:bottom w:val="single" w:color="auto" w:sz="4" w:space="0"/>
              <w:right w:val="single" w:color="auto" w:sz="4" w:space="0"/>
            </w:tcBorders>
            <w:shd w:val="clear" w:color="auto" w:fill="auto"/>
            <w:noWrap/>
            <w:vAlign w:val="center"/>
            <w:hideMark/>
          </w:tcPr>
          <w:p w:rsidRPr="009A2BD0" w:rsidR="00CF05EE" w:rsidP="003049C1" w:rsidRDefault="00CF05EE">
            <w:pPr>
              <w:ind w:left="1664" w:hanging="1664"/>
              <w:jc w:val="left"/>
              <w:rPr>
                <w:rFonts w:ascii="Verdana" w:hAnsi="Verdana" w:eastAsia="Calibri" w:cs="Calibri"/>
                <w:szCs w:val="18"/>
                <w:lang w:eastAsia="en-GB"/>
              </w:rPr>
            </w:pPr>
            <w:r w:rsidRPr="00CF05EE">
              <w:rPr>
                <w:rFonts w:ascii="Verdana" w:hAnsi="Verdana"/>
                <w:szCs w:val="18"/>
                <w:lang w:eastAsia="en-GB"/>
              </w:rPr>
              <w:t>14-Jul-15</w:t>
            </w:r>
          </w:p>
        </w:tc>
        <w:tc>
          <w:tcPr>
            <w:tcW w:w="0" w:type="auto"/>
            <w:tcBorders>
              <w:top w:val="nil"/>
              <w:left w:val="nil"/>
              <w:bottom w:val="single" w:color="auto" w:sz="4" w:space="0"/>
              <w:right w:val="single" w:color="auto" w:sz="8" w:space="0"/>
            </w:tcBorders>
            <w:shd w:val="clear" w:color="auto" w:fill="auto"/>
            <w:vAlign w:val="center"/>
            <w:hideMark/>
          </w:tcPr>
          <w:p w:rsidRPr="002D4086" w:rsidR="00CF05EE" w:rsidP="00CF05EE" w:rsidRDefault="00CF05EE">
            <w:pPr>
              <w:overflowPunct/>
              <w:autoSpaceDE/>
              <w:autoSpaceDN/>
              <w:adjustRightInd/>
              <w:jc w:val="center"/>
              <w:textAlignment w:val="auto"/>
              <w:rPr>
                <w:rFonts w:ascii="Verdana" w:hAnsi="Verdana"/>
                <w:color w:val="000000"/>
                <w:szCs w:val="18"/>
                <w:lang w:eastAsia="en-GB"/>
              </w:rPr>
            </w:pPr>
          </w:p>
        </w:tc>
      </w:tr>
      <w:tr w:rsidRPr="002D4086" w:rsidR="00DE3DE2" w:rsidTr="00DE3DE2">
        <w:trPr>
          <w:trHeight w:val="315"/>
        </w:trPr>
        <w:tc>
          <w:tcPr>
            <w:tcW w:w="0" w:type="auto"/>
            <w:tcBorders>
              <w:top w:val="nil"/>
              <w:left w:val="single" w:color="auto" w:sz="8" w:space="0"/>
              <w:bottom w:val="single" w:color="auto" w:sz="8" w:space="0"/>
              <w:right w:val="single" w:color="auto" w:sz="4" w:space="0"/>
            </w:tcBorders>
            <w:shd w:val="clear" w:color="auto" w:fill="auto"/>
            <w:vAlign w:val="center"/>
            <w:hideMark/>
          </w:tcPr>
          <w:p w:rsidRPr="002D4086" w:rsidR="00DE3DE2" w:rsidP="003049C1" w:rsidRDefault="00DE3DE2">
            <w:pPr>
              <w:overflowPunct/>
              <w:autoSpaceDE/>
              <w:autoSpaceDN/>
              <w:adjustRightInd/>
              <w:jc w:val="left"/>
              <w:textAlignment w:val="auto"/>
              <w:rPr>
                <w:rFonts w:ascii="Verdana" w:hAnsi="Verdana"/>
                <w:color w:val="000000"/>
                <w:szCs w:val="18"/>
                <w:lang w:eastAsia="en-GB"/>
              </w:rPr>
            </w:pPr>
            <w:r w:rsidRPr="00DE3DE2">
              <w:rPr>
                <w:rFonts w:ascii="Verdana" w:hAnsi="Verdana"/>
                <w:color w:val="000000"/>
                <w:szCs w:val="18"/>
                <w:lang w:eastAsia="en-GB"/>
              </w:rPr>
              <w:t>Helen Charles</w:t>
            </w:r>
          </w:p>
        </w:tc>
        <w:tc>
          <w:tcPr>
            <w:tcW w:w="0" w:type="auto"/>
            <w:tcBorders>
              <w:top w:val="nil"/>
              <w:left w:val="nil"/>
              <w:bottom w:val="single" w:color="auto" w:sz="8" w:space="0"/>
              <w:right w:val="single" w:color="auto" w:sz="4" w:space="0"/>
            </w:tcBorders>
            <w:shd w:val="clear" w:color="auto" w:fill="auto"/>
            <w:vAlign w:val="center"/>
            <w:hideMark/>
          </w:tcPr>
          <w:p w:rsidRPr="002D4086" w:rsidR="00DE3DE2" w:rsidP="003049C1" w:rsidRDefault="0091483D">
            <w:pPr>
              <w:overflowPunct/>
              <w:autoSpaceDE/>
              <w:autoSpaceDN/>
              <w:adjustRightInd/>
              <w:jc w:val="left"/>
              <w:textAlignment w:val="auto"/>
              <w:rPr>
                <w:rFonts w:ascii="Verdana" w:hAnsi="Verdana"/>
                <w:color w:val="000000"/>
                <w:szCs w:val="18"/>
                <w:lang w:eastAsia="en-GB"/>
              </w:rPr>
            </w:pPr>
            <w:r>
              <w:rPr>
                <w:rFonts w:ascii="Verdana" w:hAnsi="Verdana"/>
                <w:color w:val="000000"/>
                <w:szCs w:val="18"/>
                <w:lang w:eastAsia="en-GB"/>
              </w:rPr>
              <w:t>Resi</w:t>
            </w:r>
            <w:r w:rsidR="00DE3DE2">
              <w:rPr>
                <w:rFonts w:ascii="Verdana" w:hAnsi="Verdana"/>
                <w:color w:val="000000"/>
                <w:szCs w:val="18"/>
                <w:lang w:eastAsia="en-GB"/>
              </w:rPr>
              <w:t>dent</w:t>
            </w:r>
          </w:p>
        </w:tc>
        <w:tc>
          <w:tcPr>
            <w:tcW w:w="0" w:type="auto"/>
            <w:tcBorders>
              <w:top w:val="nil"/>
              <w:left w:val="nil"/>
              <w:bottom w:val="single" w:color="auto" w:sz="8" w:space="0"/>
              <w:right w:val="single" w:color="auto" w:sz="4" w:space="0"/>
            </w:tcBorders>
            <w:shd w:val="clear" w:color="auto" w:fill="auto"/>
            <w:noWrap/>
            <w:vAlign w:val="center"/>
            <w:hideMark/>
          </w:tcPr>
          <w:p w:rsidRPr="00CF05EE" w:rsidR="00DE3DE2" w:rsidP="003049C1" w:rsidRDefault="00DE3DE2">
            <w:pPr>
              <w:overflowPunct/>
              <w:autoSpaceDE/>
              <w:autoSpaceDN/>
              <w:adjustRightInd/>
              <w:jc w:val="left"/>
              <w:textAlignment w:val="auto"/>
              <w:rPr>
                <w:rFonts w:ascii="Verdana" w:hAnsi="Verdana"/>
                <w:szCs w:val="18"/>
                <w:lang w:eastAsia="en-GB"/>
              </w:rPr>
            </w:pPr>
            <w:r>
              <w:rPr>
                <w:rFonts w:ascii="Verdana" w:hAnsi="Verdana"/>
                <w:szCs w:val="18"/>
                <w:lang w:eastAsia="en-GB"/>
              </w:rPr>
              <w:t>20-Jan-17</w:t>
            </w:r>
          </w:p>
        </w:tc>
        <w:tc>
          <w:tcPr>
            <w:tcW w:w="0" w:type="auto"/>
            <w:tcBorders>
              <w:top w:val="nil"/>
              <w:left w:val="nil"/>
              <w:bottom w:val="single" w:color="auto" w:sz="8" w:space="0"/>
              <w:right w:val="single" w:color="auto" w:sz="8" w:space="0"/>
            </w:tcBorders>
            <w:shd w:val="clear" w:color="auto" w:fill="auto"/>
            <w:vAlign w:val="center"/>
            <w:hideMark/>
          </w:tcPr>
          <w:p w:rsidRPr="002D4086" w:rsidR="00DE3DE2" w:rsidP="00DE3DE2" w:rsidRDefault="00DE3DE2">
            <w:pPr>
              <w:overflowPunct/>
              <w:autoSpaceDE/>
              <w:autoSpaceDN/>
              <w:adjustRightInd/>
              <w:textAlignment w:val="auto"/>
              <w:rPr>
                <w:rFonts w:ascii="Verdana" w:hAnsi="Verdana"/>
                <w:color w:val="000000"/>
                <w:szCs w:val="18"/>
                <w:lang w:eastAsia="en-GB"/>
              </w:rPr>
            </w:pPr>
          </w:p>
        </w:tc>
      </w:tr>
      <w:tr w:rsidRPr="002D4086" w:rsidR="002C53AE" w:rsidTr="002C53AE">
        <w:trPr>
          <w:trHeight w:val="315"/>
        </w:trPr>
        <w:tc>
          <w:tcPr>
            <w:tcW w:w="0" w:type="auto"/>
            <w:tcBorders>
              <w:top w:val="nil"/>
              <w:left w:val="single" w:color="auto" w:sz="8" w:space="0"/>
              <w:bottom w:val="single" w:color="auto" w:sz="8" w:space="0"/>
              <w:right w:val="single" w:color="auto" w:sz="4" w:space="0"/>
            </w:tcBorders>
            <w:shd w:val="clear" w:color="auto" w:fill="auto"/>
            <w:vAlign w:val="center"/>
            <w:hideMark/>
          </w:tcPr>
          <w:p w:rsidRPr="002C53AE" w:rsidR="002C53AE" w:rsidRDefault="002C53AE">
            <w:pPr>
              <w:rPr>
                <w:rFonts w:ascii="Verdana" w:hAnsi="Verdana" w:eastAsiaTheme="minorHAnsi"/>
                <w:color w:val="000000" w:themeColor="text1"/>
                <w:szCs w:val="18"/>
                <w:lang w:eastAsia="en-GB"/>
              </w:rPr>
            </w:pPr>
            <w:r w:rsidRPr="002C53AE">
              <w:rPr>
                <w:rFonts w:ascii="Verdana" w:hAnsi="Verdana"/>
                <w:color w:val="000000" w:themeColor="text1"/>
                <w:lang w:eastAsia="en-GB"/>
              </w:rPr>
              <w:t xml:space="preserve">Julie Fagan </w:t>
            </w:r>
          </w:p>
        </w:tc>
        <w:tc>
          <w:tcPr>
            <w:tcW w:w="0" w:type="auto"/>
            <w:tcBorders>
              <w:top w:val="nil"/>
              <w:left w:val="nil"/>
              <w:bottom w:val="single" w:color="auto" w:sz="8" w:space="0"/>
              <w:right w:val="single" w:color="auto" w:sz="4" w:space="0"/>
            </w:tcBorders>
            <w:shd w:val="clear" w:color="auto" w:fill="auto"/>
            <w:vAlign w:val="center"/>
            <w:hideMark/>
          </w:tcPr>
          <w:p w:rsidRPr="002C53AE" w:rsidR="002C53AE" w:rsidRDefault="002C53AE">
            <w:pPr>
              <w:rPr>
                <w:rFonts w:ascii="Verdana" w:hAnsi="Verdana" w:eastAsiaTheme="minorHAnsi"/>
                <w:color w:val="000000" w:themeColor="text1"/>
                <w:szCs w:val="18"/>
                <w:lang w:eastAsia="en-GB"/>
              </w:rPr>
            </w:pPr>
            <w:r w:rsidRPr="002C53AE">
              <w:rPr>
                <w:rFonts w:ascii="Verdana" w:hAnsi="Verdana"/>
                <w:color w:val="000000" w:themeColor="text1"/>
                <w:lang w:eastAsia="en-GB"/>
              </w:rPr>
              <w:t>Resident</w:t>
            </w:r>
          </w:p>
        </w:tc>
        <w:tc>
          <w:tcPr>
            <w:tcW w:w="0" w:type="auto"/>
            <w:tcBorders>
              <w:top w:val="nil"/>
              <w:left w:val="nil"/>
              <w:bottom w:val="single" w:color="auto" w:sz="8" w:space="0"/>
              <w:right w:val="single" w:color="auto" w:sz="4" w:space="0"/>
            </w:tcBorders>
            <w:shd w:val="clear" w:color="auto" w:fill="auto"/>
            <w:noWrap/>
            <w:vAlign w:val="center"/>
            <w:hideMark/>
          </w:tcPr>
          <w:p w:rsidRPr="002C53AE" w:rsidR="002C53AE" w:rsidRDefault="002C53AE">
            <w:pPr>
              <w:rPr>
                <w:rFonts w:ascii="Verdana" w:hAnsi="Verdana" w:eastAsiaTheme="minorHAnsi"/>
                <w:color w:val="000000" w:themeColor="text1"/>
                <w:szCs w:val="18"/>
                <w:lang w:eastAsia="en-GB"/>
              </w:rPr>
            </w:pPr>
            <w:r w:rsidRPr="002C53AE">
              <w:rPr>
                <w:rFonts w:ascii="Verdana" w:hAnsi="Verdana"/>
                <w:color w:val="000000" w:themeColor="text1"/>
                <w:lang w:eastAsia="en-GB"/>
              </w:rPr>
              <w:t>31-Jul-17</w:t>
            </w:r>
          </w:p>
        </w:tc>
        <w:tc>
          <w:tcPr>
            <w:tcW w:w="0" w:type="auto"/>
            <w:tcBorders>
              <w:top w:val="nil"/>
              <w:left w:val="nil"/>
              <w:bottom w:val="single" w:color="auto" w:sz="8" w:space="0"/>
              <w:right w:val="single" w:color="auto" w:sz="8" w:space="0"/>
            </w:tcBorders>
            <w:shd w:val="clear" w:color="auto" w:fill="auto"/>
            <w:vAlign w:val="center"/>
            <w:hideMark/>
          </w:tcPr>
          <w:p w:rsidRPr="002D4086" w:rsidR="002C53AE" w:rsidP="00913A2D" w:rsidRDefault="002C53AE">
            <w:pPr>
              <w:overflowPunct/>
              <w:autoSpaceDE/>
              <w:autoSpaceDN/>
              <w:adjustRightInd/>
              <w:textAlignment w:val="auto"/>
              <w:rPr>
                <w:rFonts w:ascii="Verdana" w:hAnsi="Verdana"/>
                <w:color w:val="000000"/>
                <w:szCs w:val="18"/>
                <w:lang w:eastAsia="en-GB"/>
              </w:rPr>
            </w:pPr>
          </w:p>
        </w:tc>
      </w:tr>
    </w:tbl>
    <w:p w:rsidR="00DE28C3" w:rsidP="00DE28C3" w:rsidRDefault="00DE28C3">
      <w:pPr>
        <w:pStyle w:val="ACText"/>
        <w:rPr>
          <w:rFonts w:ascii="Verdana" w:hAnsi="Verdana" w:cs="Arial"/>
          <w:b/>
        </w:rPr>
      </w:pPr>
    </w:p>
    <w:p w:rsidR="00DE28C3" w:rsidP="00DE28C3" w:rsidRDefault="00FF5374">
      <w:pPr>
        <w:pStyle w:val="ACText"/>
        <w:rPr>
          <w:rFonts w:ascii="Verdana" w:hAnsi="Verdana" w:cs="Arial"/>
          <w:b/>
        </w:rPr>
      </w:pPr>
      <w:r w:rsidRPr="005C65BC">
        <w:rPr>
          <w:rFonts w:ascii="Verdana" w:hAnsi="Verdana" w:cs="Arial"/>
          <w:b/>
        </w:rPr>
        <w:t>Company Secretary</w:t>
      </w:r>
    </w:p>
    <w:p w:rsidRPr="00DE28C3" w:rsidR="00FF5374" w:rsidP="00DE28C3" w:rsidRDefault="00A061A4">
      <w:pPr>
        <w:pStyle w:val="ACText"/>
        <w:rPr>
          <w:rFonts w:ascii="Verdana" w:hAnsi="Verdana" w:cs="Arial"/>
          <w:b/>
        </w:rPr>
      </w:pPr>
      <w:r>
        <w:rPr>
          <w:rFonts w:ascii="Verdana" w:hAnsi="Verdana" w:cs="Arial"/>
        </w:rPr>
        <w:t>Paul</w:t>
      </w:r>
      <w:r w:rsidRPr="005C65BC" w:rsidR="00FF5374">
        <w:rPr>
          <w:rFonts w:ascii="Verdana" w:hAnsi="Verdana" w:cs="Arial"/>
        </w:rPr>
        <w:t xml:space="preserve"> </w:t>
      </w:r>
      <w:r>
        <w:rPr>
          <w:rFonts w:ascii="Verdana" w:hAnsi="Verdana" w:cs="Arial"/>
        </w:rPr>
        <w:t>Davey</w:t>
      </w:r>
      <w:r w:rsidRPr="00B53BF4" w:rsidR="00FF5374">
        <w:rPr>
          <w:rFonts w:ascii="Verdana" w:hAnsi="Verdana" w:cs="Arial"/>
        </w:rPr>
        <w:tab/>
      </w:r>
      <w:r w:rsidRPr="00B53BF4" w:rsidR="00FF5374">
        <w:rPr>
          <w:rFonts w:ascii="Verdana" w:hAnsi="Verdana" w:cs="Arial"/>
        </w:rPr>
        <w:tab/>
      </w:r>
      <w:r w:rsidRPr="00B53BF4" w:rsidR="00FF5374">
        <w:rPr>
          <w:rFonts w:ascii="Verdana" w:hAnsi="Verdana" w:cs="Arial"/>
        </w:rPr>
        <w:tab/>
      </w:r>
      <w:r w:rsidRPr="00B53BF4" w:rsidR="00FF5374">
        <w:rPr>
          <w:rFonts w:ascii="Verdana" w:hAnsi="Verdana" w:cs="Arial"/>
        </w:rPr>
        <w:tab/>
      </w:r>
      <w:r w:rsidRPr="00B53BF4" w:rsidR="00FF5374">
        <w:rPr>
          <w:rFonts w:ascii="Verdana" w:hAnsi="Verdana" w:cs="Arial"/>
        </w:rPr>
        <w:tab/>
      </w:r>
      <w:r w:rsidRPr="00B53BF4" w:rsidR="00FF5374">
        <w:rPr>
          <w:rFonts w:ascii="Verdana" w:hAnsi="Verdana" w:cs="Arial"/>
        </w:rPr>
        <w:tab/>
      </w:r>
    </w:p>
    <w:p w:rsidR="00AB78B1" w:rsidP="00AB78B1" w:rsidRDefault="00AB78B1">
      <w:pPr>
        <w:pStyle w:val="ACPageHeading"/>
        <w:ind w:right="-1"/>
        <w:rPr>
          <w:rFonts w:ascii="Verdana" w:hAnsi="Verdana" w:cs="Arial"/>
        </w:rPr>
      </w:pPr>
      <w:r w:rsidRPr="0099464D">
        <w:rPr>
          <w:rFonts w:ascii="Verdana" w:hAnsi="Verdana" w:cs="Arial"/>
        </w:rPr>
        <w:lastRenderedPageBreak/>
        <w:t>Company Information</w:t>
      </w:r>
      <w:r>
        <w:rPr>
          <w:rFonts w:ascii="Verdana" w:hAnsi="Verdana" w:cs="Arial"/>
        </w:rPr>
        <w:t xml:space="preserve"> (cont)</w:t>
      </w:r>
    </w:p>
    <w:p w:rsidR="00AB78B1" w:rsidP="00FF5374" w:rsidRDefault="00AB78B1">
      <w:pPr>
        <w:pStyle w:val="ACSectionTOCHeading"/>
        <w:rPr>
          <w:rFonts w:ascii="Verdana" w:hAnsi="Verdana" w:cs="Arial"/>
          <w:sz w:val="20"/>
        </w:rPr>
      </w:pPr>
    </w:p>
    <w:p w:rsidRPr="00B53BF4" w:rsidR="00FF5374" w:rsidP="00FF5374" w:rsidRDefault="00B61651">
      <w:pPr>
        <w:pStyle w:val="ACSectionTOCHeading"/>
        <w:rPr>
          <w:rFonts w:ascii="Verdana" w:hAnsi="Verdana" w:cs="Arial"/>
          <w:sz w:val="20"/>
        </w:rPr>
      </w:pPr>
      <w:r>
        <w:rPr>
          <w:rFonts w:ascii="Verdana" w:hAnsi="Verdana" w:cs="Arial"/>
          <w:sz w:val="20"/>
        </w:rPr>
        <w:t>Executive</w:t>
      </w:r>
      <w:r w:rsidRPr="00B53BF4" w:rsidR="00FF5374">
        <w:rPr>
          <w:rFonts w:ascii="Verdana" w:hAnsi="Verdana" w:cs="Arial"/>
          <w:sz w:val="20"/>
        </w:rPr>
        <w:t xml:space="preserve"> Management Team</w:t>
      </w:r>
    </w:p>
    <w:p w:rsidR="00AB78B1" w:rsidP="00A84945" w:rsidRDefault="00AB78B1">
      <w:pPr>
        <w:pStyle w:val="ACText"/>
        <w:rPr>
          <w:rFonts w:ascii="Verdana" w:hAnsi="Verdana"/>
        </w:rPr>
      </w:pPr>
    </w:p>
    <w:p w:rsidR="00A84945" w:rsidP="00A84945" w:rsidRDefault="00A84945">
      <w:pPr>
        <w:pStyle w:val="ACText"/>
        <w:rPr>
          <w:rFonts w:ascii="Verdana" w:hAnsi="Verdana"/>
        </w:rPr>
      </w:pPr>
      <w:r w:rsidRPr="00B53BF4">
        <w:rPr>
          <w:rFonts w:ascii="Verdana" w:hAnsi="Verdana"/>
        </w:rPr>
        <w:t xml:space="preserve">The members of the </w:t>
      </w:r>
      <w:r w:rsidR="00B61651">
        <w:rPr>
          <w:rFonts w:ascii="Verdana" w:hAnsi="Verdana"/>
        </w:rPr>
        <w:t>Executive</w:t>
      </w:r>
      <w:r w:rsidRPr="00B53BF4">
        <w:rPr>
          <w:rFonts w:ascii="Verdana" w:hAnsi="Verdana"/>
        </w:rPr>
        <w:t xml:space="preserve"> Management Team who held office in the year are listed below with their current Directorate responsibilities.</w:t>
      </w:r>
    </w:p>
    <w:p w:rsidR="00F73B60" w:rsidP="002302B9" w:rsidRDefault="00F73B60">
      <w:pPr>
        <w:rPr>
          <w:rFonts w:ascii="Verdana" w:hAnsi="Verdana" w:cs="Arial"/>
          <w:sz w:val="20"/>
        </w:rPr>
      </w:pPr>
    </w:p>
    <w:tbl>
      <w:tblPr>
        <w:tblW w:w="9513" w:type="dxa"/>
        <w:tblInd w:w="93" w:type="dxa"/>
        <w:tblLook w:val="04A0" w:firstRow="1" w:lastRow="0" w:firstColumn="1" w:lastColumn="0" w:noHBand="0" w:noVBand="1"/>
      </w:tblPr>
      <w:tblGrid>
        <w:gridCol w:w="1716"/>
        <w:gridCol w:w="4111"/>
        <w:gridCol w:w="1843"/>
        <w:gridCol w:w="1843"/>
      </w:tblGrid>
      <w:tr w:rsidRPr="002D4086" w:rsidR="002D4086" w:rsidTr="002D4086">
        <w:trPr>
          <w:trHeight w:val="300"/>
        </w:trPr>
        <w:tc>
          <w:tcPr>
            <w:tcW w:w="171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D4086" w:rsidR="002D4086" w:rsidP="002D4086" w:rsidRDefault="002D4086">
            <w:pPr>
              <w:overflowPunct/>
              <w:autoSpaceDE/>
              <w:autoSpaceDN/>
              <w:adjustRightInd/>
              <w:jc w:val="left"/>
              <w:textAlignment w:val="auto"/>
              <w:rPr>
                <w:rFonts w:ascii="Verdana" w:hAnsi="Verdana" w:cs="Calibri"/>
                <w:b/>
                <w:bCs/>
                <w:color w:val="000000"/>
                <w:szCs w:val="18"/>
                <w:lang w:eastAsia="en-GB"/>
              </w:rPr>
            </w:pPr>
            <w:r w:rsidRPr="002D4086">
              <w:rPr>
                <w:rFonts w:ascii="Verdana" w:hAnsi="Verdana" w:cs="Calibri"/>
                <w:b/>
                <w:bCs/>
                <w:color w:val="000000"/>
                <w:szCs w:val="18"/>
                <w:lang w:eastAsia="en-GB"/>
              </w:rPr>
              <w:t>Name</w:t>
            </w:r>
          </w:p>
        </w:tc>
        <w:tc>
          <w:tcPr>
            <w:tcW w:w="4111" w:type="dxa"/>
            <w:tcBorders>
              <w:top w:val="single" w:color="auto" w:sz="4" w:space="0"/>
              <w:left w:val="nil"/>
              <w:bottom w:val="single" w:color="auto" w:sz="4" w:space="0"/>
              <w:right w:val="single" w:color="auto" w:sz="4" w:space="0"/>
            </w:tcBorders>
            <w:shd w:val="clear" w:color="auto" w:fill="auto"/>
            <w:vAlign w:val="center"/>
            <w:hideMark/>
          </w:tcPr>
          <w:p w:rsidRPr="002D4086" w:rsidR="002D4086" w:rsidP="002D4086" w:rsidRDefault="002D4086">
            <w:pPr>
              <w:overflowPunct/>
              <w:autoSpaceDE/>
              <w:autoSpaceDN/>
              <w:adjustRightInd/>
              <w:jc w:val="left"/>
              <w:textAlignment w:val="auto"/>
              <w:rPr>
                <w:rFonts w:ascii="Verdana" w:hAnsi="Verdana" w:cs="Calibri"/>
                <w:b/>
                <w:bCs/>
                <w:color w:val="000000"/>
                <w:szCs w:val="18"/>
                <w:lang w:eastAsia="en-GB"/>
              </w:rPr>
            </w:pPr>
            <w:r w:rsidRPr="002D4086">
              <w:rPr>
                <w:rFonts w:ascii="Verdana" w:hAnsi="Verdana" w:cs="Calibri"/>
                <w:b/>
                <w:bCs/>
                <w:color w:val="000000"/>
                <w:szCs w:val="18"/>
                <w:lang w:eastAsia="en-GB"/>
              </w:rPr>
              <w:t>Role</w:t>
            </w:r>
          </w:p>
        </w:tc>
        <w:tc>
          <w:tcPr>
            <w:tcW w:w="1843" w:type="dxa"/>
            <w:tcBorders>
              <w:top w:val="single" w:color="auto" w:sz="4" w:space="0"/>
              <w:left w:val="nil"/>
              <w:bottom w:val="single" w:color="auto" w:sz="4" w:space="0"/>
              <w:right w:val="single" w:color="auto" w:sz="4" w:space="0"/>
            </w:tcBorders>
            <w:shd w:val="clear" w:color="auto" w:fill="auto"/>
            <w:noWrap/>
            <w:vAlign w:val="center"/>
            <w:hideMark/>
          </w:tcPr>
          <w:p w:rsidRPr="002D4086" w:rsidR="002D4086" w:rsidP="002D4086" w:rsidRDefault="002D4086">
            <w:pPr>
              <w:overflowPunct/>
              <w:autoSpaceDE/>
              <w:autoSpaceDN/>
              <w:adjustRightInd/>
              <w:jc w:val="center"/>
              <w:textAlignment w:val="auto"/>
              <w:rPr>
                <w:rFonts w:ascii="Verdana" w:hAnsi="Verdana" w:cs="Calibri"/>
                <w:b/>
                <w:bCs/>
                <w:color w:val="000000"/>
                <w:szCs w:val="18"/>
                <w:lang w:eastAsia="en-GB"/>
              </w:rPr>
            </w:pPr>
            <w:r w:rsidRPr="002D4086">
              <w:rPr>
                <w:rFonts w:ascii="Verdana" w:hAnsi="Verdana" w:cs="Calibri"/>
                <w:b/>
                <w:bCs/>
                <w:color w:val="000000"/>
                <w:szCs w:val="18"/>
                <w:lang w:eastAsia="en-GB"/>
              </w:rPr>
              <w:t>From</w:t>
            </w:r>
          </w:p>
        </w:tc>
        <w:tc>
          <w:tcPr>
            <w:tcW w:w="1843" w:type="dxa"/>
            <w:tcBorders>
              <w:top w:val="single" w:color="auto" w:sz="4" w:space="0"/>
              <w:left w:val="nil"/>
              <w:bottom w:val="single" w:color="auto" w:sz="4" w:space="0"/>
              <w:right w:val="single" w:color="auto" w:sz="4" w:space="0"/>
            </w:tcBorders>
            <w:shd w:val="clear" w:color="auto" w:fill="auto"/>
            <w:noWrap/>
            <w:vAlign w:val="center"/>
            <w:hideMark/>
          </w:tcPr>
          <w:p w:rsidRPr="002D4086" w:rsidR="002D4086" w:rsidP="002D4086" w:rsidRDefault="002D4086">
            <w:pPr>
              <w:overflowPunct/>
              <w:autoSpaceDE/>
              <w:autoSpaceDN/>
              <w:adjustRightInd/>
              <w:jc w:val="center"/>
              <w:textAlignment w:val="auto"/>
              <w:rPr>
                <w:rFonts w:ascii="Verdana" w:hAnsi="Verdana" w:cs="Calibri"/>
                <w:b/>
                <w:bCs/>
                <w:color w:val="000000"/>
                <w:szCs w:val="18"/>
                <w:lang w:eastAsia="en-GB"/>
              </w:rPr>
            </w:pPr>
            <w:r w:rsidRPr="002D4086">
              <w:rPr>
                <w:rFonts w:ascii="Verdana" w:hAnsi="Verdana" w:cs="Calibri"/>
                <w:b/>
                <w:bCs/>
                <w:color w:val="000000"/>
                <w:szCs w:val="18"/>
                <w:lang w:eastAsia="en-GB"/>
              </w:rPr>
              <w:t>To</w:t>
            </w:r>
          </w:p>
        </w:tc>
      </w:tr>
      <w:tr w:rsidRPr="002D4086" w:rsidR="002D4086" w:rsidTr="002D4086">
        <w:trPr>
          <w:trHeight w:val="300"/>
        </w:trPr>
        <w:tc>
          <w:tcPr>
            <w:tcW w:w="1716" w:type="dxa"/>
            <w:tcBorders>
              <w:top w:val="nil"/>
              <w:left w:val="single" w:color="auto" w:sz="4" w:space="0"/>
              <w:bottom w:val="single" w:color="auto" w:sz="4" w:space="0"/>
              <w:right w:val="single" w:color="auto" w:sz="4" w:space="0"/>
            </w:tcBorders>
            <w:shd w:val="clear" w:color="auto" w:fill="auto"/>
            <w:noWrap/>
            <w:vAlign w:val="center"/>
            <w:hideMark/>
          </w:tcPr>
          <w:p w:rsidRPr="002D4086" w:rsidR="002D4086" w:rsidP="002D4086" w:rsidRDefault="002D4086">
            <w:pPr>
              <w:overflowPunct/>
              <w:autoSpaceDE/>
              <w:autoSpaceDN/>
              <w:adjustRightInd/>
              <w:jc w:val="left"/>
              <w:textAlignment w:val="auto"/>
              <w:rPr>
                <w:rFonts w:ascii="Verdana" w:hAnsi="Verdana" w:cs="Calibri"/>
                <w:color w:val="000000"/>
                <w:szCs w:val="18"/>
                <w:lang w:eastAsia="en-GB"/>
              </w:rPr>
            </w:pPr>
            <w:r w:rsidRPr="002D4086">
              <w:rPr>
                <w:rFonts w:ascii="Verdana" w:hAnsi="Verdana" w:cs="Calibri"/>
                <w:color w:val="000000"/>
                <w:szCs w:val="18"/>
                <w:lang w:eastAsia="en-GB"/>
              </w:rPr>
              <w:t>Susmita Sen</w:t>
            </w:r>
          </w:p>
        </w:tc>
        <w:tc>
          <w:tcPr>
            <w:tcW w:w="4111" w:type="dxa"/>
            <w:tcBorders>
              <w:top w:val="nil"/>
              <w:left w:val="nil"/>
              <w:bottom w:val="single" w:color="auto" w:sz="4" w:space="0"/>
              <w:right w:val="single" w:color="auto" w:sz="4" w:space="0"/>
            </w:tcBorders>
            <w:shd w:val="clear" w:color="auto" w:fill="auto"/>
            <w:vAlign w:val="center"/>
            <w:hideMark/>
          </w:tcPr>
          <w:p w:rsidRPr="002D4086" w:rsidR="002D4086" w:rsidP="002D4086" w:rsidRDefault="002D4086">
            <w:pPr>
              <w:overflowPunct/>
              <w:autoSpaceDE/>
              <w:autoSpaceDN/>
              <w:adjustRightInd/>
              <w:jc w:val="left"/>
              <w:textAlignment w:val="auto"/>
              <w:rPr>
                <w:rFonts w:ascii="Verdana" w:hAnsi="Verdana" w:cs="Calibri"/>
                <w:color w:val="000000"/>
                <w:szCs w:val="18"/>
                <w:lang w:eastAsia="en-GB"/>
              </w:rPr>
            </w:pPr>
            <w:r w:rsidRPr="002D4086">
              <w:rPr>
                <w:rFonts w:ascii="Verdana" w:hAnsi="Verdana" w:cs="Calibri"/>
                <w:color w:val="000000"/>
                <w:szCs w:val="18"/>
                <w:lang w:eastAsia="en-GB"/>
              </w:rPr>
              <w:t>Chief Executive</w:t>
            </w:r>
          </w:p>
        </w:tc>
        <w:tc>
          <w:tcPr>
            <w:tcW w:w="1843" w:type="dxa"/>
            <w:tcBorders>
              <w:top w:val="nil"/>
              <w:left w:val="nil"/>
              <w:bottom w:val="single" w:color="auto" w:sz="4" w:space="0"/>
              <w:right w:val="single" w:color="auto" w:sz="4" w:space="0"/>
            </w:tcBorders>
            <w:shd w:val="clear" w:color="auto" w:fill="auto"/>
            <w:noWrap/>
            <w:vAlign w:val="center"/>
            <w:hideMark/>
          </w:tcPr>
          <w:p w:rsidRPr="002D4086" w:rsidR="002D4086" w:rsidP="003049C1" w:rsidRDefault="002D4086">
            <w:pPr>
              <w:overflowPunct/>
              <w:autoSpaceDE/>
              <w:autoSpaceDN/>
              <w:adjustRightInd/>
              <w:jc w:val="left"/>
              <w:textAlignment w:val="auto"/>
              <w:rPr>
                <w:rFonts w:ascii="Verdana" w:hAnsi="Verdana" w:cs="Calibri"/>
                <w:color w:val="000000"/>
                <w:szCs w:val="18"/>
                <w:lang w:eastAsia="en-GB"/>
              </w:rPr>
            </w:pPr>
            <w:r w:rsidRPr="002D4086">
              <w:rPr>
                <w:rFonts w:ascii="Verdana" w:hAnsi="Verdana" w:cs="Calibri"/>
                <w:color w:val="000000"/>
                <w:szCs w:val="18"/>
                <w:lang w:eastAsia="en-GB"/>
              </w:rPr>
              <w:t>15-Sep</w:t>
            </w:r>
            <w:r w:rsidR="00E23724">
              <w:rPr>
                <w:rFonts w:ascii="Verdana" w:hAnsi="Verdana" w:cs="Calibri"/>
                <w:color w:val="000000"/>
                <w:szCs w:val="18"/>
                <w:lang w:eastAsia="en-GB"/>
              </w:rPr>
              <w:t>t</w:t>
            </w:r>
            <w:r w:rsidRPr="002D4086">
              <w:rPr>
                <w:rFonts w:ascii="Verdana" w:hAnsi="Verdana" w:cs="Calibri"/>
                <w:color w:val="000000"/>
                <w:szCs w:val="18"/>
                <w:lang w:eastAsia="en-GB"/>
              </w:rPr>
              <w:t>-2015</w:t>
            </w:r>
          </w:p>
        </w:tc>
        <w:tc>
          <w:tcPr>
            <w:tcW w:w="1843" w:type="dxa"/>
            <w:tcBorders>
              <w:top w:val="nil"/>
              <w:left w:val="nil"/>
              <w:bottom w:val="single" w:color="auto" w:sz="4" w:space="0"/>
              <w:right w:val="single" w:color="auto" w:sz="4" w:space="0"/>
            </w:tcBorders>
            <w:shd w:val="clear" w:color="auto" w:fill="auto"/>
            <w:noWrap/>
            <w:vAlign w:val="center"/>
            <w:hideMark/>
          </w:tcPr>
          <w:p w:rsidRPr="002D4086" w:rsidR="002D4086" w:rsidP="002D4086" w:rsidRDefault="002D4086">
            <w:pPr>
              <w:overflowPunct/>
              <w:autoSpaceDE/>
              <w:autoSpaceDN/>
              <w:adjustRightInd/>
              <w:jc w:val="center"/>
              <w:textAlignment w:val="auto"/>
              <w:rPr>
                <w:rFonts w:ascii="Verdana" w:hAnsi="Verdana" w:cs="Calibri"/>
                <w:color w:val="000000"/>
                <w:szCs w:val="18"/>
                <w:lang w:eastAsia="en-GB"/>
              </w:rPr>
            </w:pPr>
          </w:p>
        </w:tc>
      </w:tr>
      <w:tr w:rsidRPr="002D4086" w:rsidR="002D4086" w:rsidTr="002D4086">
        <w:trPr>
          <w:trHeight w:val="300"/>
        </w:trPr>
        <w:tc>
          <w:tcPr>
            <w:tcW w:w="1716" w:type="dxa"/>
            <w:tcBorders>
              <w:top w:val="nil"/>
              <w:left w:val="single" w:color="auto" w:sz="4" w:space="0"/>
              <w:bottom w:val="single" w:color="auto" w:sz="4" w:space="0"/>
              <w:right w:val="single" w:color="auto" w:sz="4" w:space="0"/>
            </w:tcBorders>
            <w:shd w:val="clear" w:color="auto" w:fill="auto"/>
            <w:noWrap/>
            <w:vAlign w:val="center"/>
            <w:hideMark/>
          </w:tcPr>
          <w:p w:rsidRPr="002D4086" w:rsidR="002D4086" w:rsidP="002D4086" w:rsidRDefault="002D4086">
            <w:pPr>
              <w:overflowPunct/>
              <w:autoSpaceDE/>
              <w:autoSpaceDN/>
              <w:adjustRightInd/>
              <w:jc w:val="left"/>
              <w:textAlignment w:val="auto"/>
              <w:rPr>
                <w:rFonts w:ascii="Verdana" w:hAnsi="Verdana" w:cs="Calibri"/>
                <w:color w:val="000000"/>
                <w:szCs w:val="18"/>
                <w:lang w:eastAsia="en-GB"/>
              </w:rPr>
            </w:pPr>
            <w:r w:rsidRPr="002D4086">
              <w:rPr>
                <w:rFonts w:ascii="Verdana" w:hAnsi="Verdana" w:cs="Calibri"/>
                <w:color w:val="000000"/>
                <w:szCs w:val="18"/>
                <w:lang w:eastAsia="en-GB"/>
              </w:rPr>
              <w:t>Ann Otesanya</w:t>
            </w:r>
          </w:p>
        </w:tc>
        <w:tc>
          <w:tcPr>
            <w:tcW w:w="4111" w:type="dxa"/>
            <w:tcBorders>
              <w:top w:val="nil"/>
              <w:left w:val="nil"/>
              <w:bottom w:val="single" w:color="auto" w:sz="4" w:space="0"/>
              <w:right w:val="single" w:color="auto" w:sz="4" w:space="0"/>
            </w:tcBorders>
            <w:shd w:val="clear" w:color="auto" w:fill="auto"/>
            <w:vAlign w:val="center"/>
            <w:hideMark/>
          </w:tcPr>
          <w:p w:rsidRPr="002D4086" w:rsidR="002D4086" w:rsidP="002D4086" w:rsidRDefault="002D4086">
            <w:pPr>
              <w:overflowPunct/>
              <w:autoSpaceDE/>
              <w:autoSpaceDN/>
              <w:adjustRightInd/>
              <w:jc w:val="left"/>
              <w:textAlignment w:val="auto"/>
              <w:rPr>
                <w:rFonts w:ascii="Verdana" w:hAnsi="Verdana" w:cs="Calibri"/>
                <w:color w:val="000000"/>
                <w:szCs w:val="18"/>
                <w:lang w:eastAsia="en-GB"/>
              </w:rPr>
            </w:pPr>
            <w:r w:rsidRPr="002D4086">
              <w:rPr>
                <w:rFonts w:ascii="Verdana" w:hAnsi="Verdana" w:cs="Calibri"/>
                <w:color w:val="000000"/>
                <w:szCs w:val="18"/>
                <w:lang w:eastAsia="en-GB"/>
              </w:rPr>
              <w:t>Director of Neighbourhoods</w:t>
            </w:r>
          </w:p>
        </w:tc>
        <w:tc>
          <w:tcPr>
            <w:tcW w:w="1843" w:type="dxa"/>
            <w:tcBorders>
              <w:top w:val="nil"/>
              <w:left w:val="nil"/>
              <w:bottom w:val="single" w:color="auto" w:sz="4" w:space="0"/>
              <w:right w:val="single" w:color="auto" w:sz="4" w:space="0"/>
            </w:tcBorders>
            <w:shd w:val="clear" w:color="auto" w:fill="auto"/>
            <w:noWrap/>
            <w:vAlign w:val="center"/>
            <w:hideMark/>
          </w:tcPr>
          <w:p w:rsidRPr="002D4086" w:rsidR="002D4086" w:rsidP="003049C1" w:rsidRDefault="002D4086">
            <w:pPr>
              <w:overflowPunct/>
              <w:autoSpaceDE/>
              <w:autoSpaceDN/>
              <w:adjustRightInd/>
              <w:jc w:val="left"/>
              <w:textAlignment w:val="auto"/>
              <w:rPr>
                <w:rFonts w:ascii="Verdana" w:hAnsi="Verdana" w:cs="Calibri"/>
                <w:color w:val="000000"/>
                <w:szCs w:val="18"/>
                <w:lang w:eastAsia="en-GB"/>
              </w:rPr>
            </w:pPr>
            <w:r w:rsidRPr="002D4086">
              <w:rPr>
                <w:rFonts w:ascii="Verdana" w:hAnsi="Verdana" w:cs="Calibri"/>
                <w:color w:val="000000"/>
                <w:szCs w:val="18"/>
                <w:lang w:eastAsia="en-GB"/>
              </w:rPr>
              <w:t>15-Feb-2016</w:t>
            </w:r>
          </w:p>
        </w:tc>
        <w:tc>
          <w:tcPr>
            <w:tcW w:w="1843" w:type="dxa"/>
            <w:tcBorders>
              <w:top w:val="nil"/>
              <w:left w:val="nil"/>
              <w:bottom w:val="single" w:color="auto" w:sz="4" w:space="0"/>
              <w:right w:val="single" w:color="auto" w:sz="4" w:space="0"/>
            </w:tcBorders>
            <w:shd w:val="clear" w:color="auto" w:fill="auto"/>
            <w:noWrap/>
            <w:vAlign w:val="center"/>
            <w:hideMark/>
          </w:tcPr>
          <w:p w:rsidRPr="002D4086" w:rsidR="002D4086" w:rsidP="002D4086" w:rsidRDefault="002D4086">
            <w:pPr>
              <w:overflowPunct/>
              <w:autoSpaceDE/>
              <w:autoSpaceDN/>
              <w:adjustRightInd/>
              <w:jc w:val="center"/>
              <w:textAlignment w:val="auto"/>
              <w:rPr>
                <w:rFonts w:ascii="Verdana" w:hAnsi="Verdana" w:cs="Calibri"/>
                <w:color w:val="000000"/>
                <w:szCs w:val="18"/>
                <w:lang w:eastAsia="en-GB"/>
              </w:rPr>
            </w:pPr>
          </w:p>
        </w:tc>
      </w:tr>
      <w:tr w:rsidRPr="002D4086" w:rsidR="00020073" w:rsidTr="00020073">
        <w:trPr>
          <w:trHeight w:val="300"/>
        </w:trPr>
        <w:tc>
          <w:tcPr>
            <w:tcW w:w="1716" w:type="dxa"/>
            <w:tcBorders>
              <w:top w:val="nil"/>
              <w:left w:val="single" w:color="auto" w:sz="4" w:space="0"/>
              <w:bottom w:val="single" w:color="auto" w:sz="4" w:space="0"/>
              <w:right w:val="single" w:color="auto" w:sz="4" w:space="0"/>
            </w:tcBorders>
            <w:shd w:val="clear" w:color="auto" w:fill="auto"/>
            <w:noWrap/>
            <w:vAlign w:val="center"/>
            <w:hideMark/>
          </w:tcPr>
          <w:p w:rsidRPr="002D4086" w:rsidR="00020073" w:rsidP="00020073" w:rsidRDefault="00020073">
            <w:pPr>
              <w:overflowPunct/>
              <w:autoSpaceDE/>
              <w:autoSpaceDN/>
              <w:adjustRightInd/>
              <w:jc w:val="left"/>
              <w:textAlignment w:val="auto"/>
              <w:rPr>
                <w:rFonts w:ascii="Verdana" w:hAnsi="Verdana" w:cs="Calibri"/>
                <w:color w:val="000000"/>
                <w:szCs w:val="18"/>
                <w:lang w:eastAsia="en-GB"/>
              </w:rPr>
            </w:pPr>
            <w:r>
              <w:rPr>
                <w:rFonts w:ascii="Verdana" w:hAnsi="Verdana" w:cs="Calibri"/>
                <w:color w:val="000000"/>
                <w:szCs w:val="18"/>
                <w:lang w:eastAsia="en-GB"/>
              </w:rPr>
              <w:t>Paul Davey</w:t>
            </w:r>
          </w:p>
        </w:tc>
        <w:tc>
          <w:tcPr>
            <w:tcW w:w="4111" w:type="dxa"/>
            <w:tcBorders>
              <w:top w:val="nil"/>
              <w:left w:val="nil"/>
              <w:bottom w:val="single" w:color="auto" w:sz="4" w:space="0"/>
              <w:right w:val="single" w:color="auto" w:sz="4" w:space="0"/>
            </w:tcBorders>
            <w:shd w:val="clear" w:color="auto" w:fill="auto"/>
            <w:noWrap/>
            <w:vAlign w:val="center"/>
            <w:hideMark/>
          </w:tcPr>
          <w:p w:rsidRPr="002D4086" w:rsidR="00020073" w:rsidP="00020073" w:rsidRDefault="00020073">
            <w:pPr>
              <w:overflowPunct/>
              <w:autoSpaceDE/>
              <w:autoSpaceDN/>
              <w:adjustRightInd/>
              <w:jc w:val="left"/>
              <w:textAlignment w:val="auto"/>
              <w:rPr>
                <w:rFonts w:ascii="Verdana" w:hAnsi="Verdana" w:cs="Calibri"/>
                <w:color w:val="000000"/>
                <w:szCs w:val="18"/>
                <w:lang w:eastAsia="en-GB"/>
              </w:rPr>
            </w:pPr>
            <w:r w:rsidRPr="002D4086">
              <w:rPr>
                <w:rFonts w:ascii="Verdana" w:hAnsi="Verdana" w:cs="Calibri"/>
                <w:color w:val="000000"/>
                <w:szCs w:val="18"/>
                <w:lang w:eastAsia="en-GB"/>
              </w:rPr>
              <w:t xml:space="preserve">Director of </w:t>
            </w:r>
            <w:r>
              <w:rPr>
                <w:rFonts w:ascii="Verdana" w:hAnsi="Verdana" w:cs="Calibri"/>
                <w:color w:val="000000"/>
                <w:szCs w:val="18"/>
                <w:lang w:eastAsia="en-GB"/>
              </w:rPr>
              <w:t>Business Transformation</w:t>
            </w:r>
          </w:p>
        </w:tc>
        <w:tc>
          <w:tcPr>
            <w:tcW w:w="1843" w:type="dxa"/>
            <w:tcBorders>
              <w:top w:val="nil"/>
              <w:left w:val="nil"/>
              <w:bottom w:val="single" w:color="auto" w:sz="4" w:space="0"/>
              <w:right w:val="single" w:color="auto" w:sz="4" w:space="0"/>
            </w:tcBorders>
            <w:shd w:val="clear" w:color="auto" w:fill="auto"/>
            <w:noWrap/>
            <w:vAlign w:val="center"/>
            <w:hideMark/>
          </w:tcPr>
          <w:p w:rsidRPr="002D4086" w:rsidR="00020073" w:rsidP="003049C1" w:rsidRDefault="00020073">
            <w:pPr>
              <w:overflowPunct/>
              <w:autoSpaceDE/>
              <w:autoSpaceDN/>
              <w:adjustRightInd/>
              <w:jc w:val="left"/>
              <w:textAlignment w:val="auto"/>
              <w:rPr>
                <w:rFonts w:ascii="Verdana" w:hAnsi="Verdana" w:cs="Calibri"/>
                <w:color w:val="000000"/>
                <w:szCs w:val="18"/>
                <w:lang w:eastAsia="en-GB"/>
              </w:rPr>
            </w:pPr>
            <w:r>
              <w:rPr>
                <w:rFonts w:ascii="Verdana" w:hAnsi="Verdana" w:cs="Calibri"/>
                <w:color w:val="000000"/>
                <w:szCs w:val="18"/>
                <w:lang w:eastAsia="en-GB"/>
              </w:rPr>
              <w:t>13-Jun</w:t>
            </w:r>
            <w:r w:rsidRPr="002D4086">
              <w:rPr>
                <w:rFonts w:ascii="Verdana" w:hAnsi="Verdana" w:cs="Calibri"/>
                <w:color w:val="000000"/>
                <w:szCs w:val="18"/>
                <w:lang w:eastAsia="en-GB"/>
              </w:rPr>
              <w:t>-201</w:t>
            </w:r>
            <w:r>
              <w:rPr>
                <w:rFonts w:ascii="Verdana" w:hAnsi="Verdana" w:cs="Calibri"/>
                <w:color w:val="000000"/>
                <w:szCs w:val="18"/>
                <w:lang w:eastAsia="en-GB"/>
              </w:rPr>
              <w:t>6</w:t>
            </w:r>
          </w:p>
        </w:tc>
        <w:tc>
          <w:tcPr>
            <w:tcW w:w="1843" w:type="dxa"/>
            <w:tcBorders>
              <w:top w:val="nil"/>
              <w:left w:val="nil"/>
              <w:bottom w:val="single" w:color="auto" w:sz="4" w:space="0"/>
              <w:right w:val="single" w:color="auto" w:sz="4" w:space="0"/>
            </w:tcBorders>
            <w:shd w:val="clear" w:color="auto" w:fill="auto"/>
            <w:noWrap/>
            <w:vAlign w:val="center"/>
            <w:hideMark/>
          </w:tcPr>
          <w:p w:rsidRPr="002D4086" w:rsidR="00020073" w:rsidP="00020073" w:rsidRDefault="00020073">
            <w:pPr>
              <w:overflowPunct/>
              <w:autoSpaceDE/>
              <w:autoSpaceDN/>
              <w:adjustRightInd/>
              <w:jc w:val="center"/>
              <w:textAlignment w:val="auto"/>
              <w:rPr>
                <w:rFonts w:ascii="Verdana" w:hAnsi="Verdana" w:cs="Calibri"/>
                <w:szCs w:val="18"/>
                <w:lang w:eastAsia="en-GB"/>
              </w:rPr>
            </w:pPr>
          </w:p>
        </w:tc>
      </w:tr>
      <w:tr w:rsidRPr="002D4086" w:rsidR="00020073" w:rsidTr="00225367">
        <w:trPr>
          <w:trHeight w:val="300"/>
        </w:trPr>
        <w:tc>
          <w:tcPr>
            <w:tcW w:w="1716" w:type="dxa"/>
            <w:tcBorders>
              <w:top w:val="nil"/>
              <w:left w:val="single" w:color="auto" w:sz="4" w:space="0"/>
              <w:bottom w:val="single" w:color="auto" w:sz="4" w:space="0"/>
              <w:right w:val="single" w:color="auto" w:sz="4" w:space="0"/>
            </w:tcBorders>
            <w:shd w:val="clear" w:color="auto" w:fill="auto"/>
            <w:noWrap/>
            <w:vAlign w:val="center"/>
          </w:tcPr>
          <w:p w:rsidRPr="002D4086" w:rsidR="00020073" w:rsidP="00020073" w:rsidRDefault="00020073">
            <w:pPr>
              <w:overflowPunct/>
              <w:autoSpaceDE/>
              <w:autoSpaceDN/>
              <w:adjustRightInd/>
              <w:jc w:val="left"/>
              <w:textAlignment w:val="auto"/>
              <w:rPr>
                <w:rFonts w:ascii="Verdana" w:hAnsi="Verdana" w:cs="Calibri"/>
                <w:color w:val="000000"/>
                <w:szCs w:val="18"/>
                <w:lang w:eastAsia="en-GB"/>
              </w:rPr>
            </w:pPr>
            <w:r>
              <w:rPr>
                <w:rFonts w:ascii="Verdana" w:hAnsi="Verdana" w:cs="Calibri"/>
                <w:color w:val="000000"/>
                <w:szCs w:val="18"/>
                <w:lang w:eastAsia="en-GB"/>
              </w:rPr>
              <w:t>John Tunney</w:t>
            </w:r>
          </w:p>
        </w:tc>
        <w:tc>
          <w:tcPr>
            <w:tcW w:w="4111" w:type="dxa"/>
            <w:tcBorders>
              <w:top w:val="nil"/>
              <w:left w:val="nil"/>
              <w:bottom w:val="single" w:color="auto" w:sz="4" w:space="0"/>
              <w:right w:val="single" w:color="auto" w:sz="4" w:space="0"/>
            </w:tcBorders>
            <w:shd w:val="clear" w:color="auto" w:fill="auto"/>
            <w:noWrap/>
            <w:vAlign w:val="center"/>
            <w:hideMark/>
          </w:tcPr>
          <w:p w:rsidRPr="002D4086" w:rsidR="00020073" w:rsidP="00020073" w:rsidRDefault="00020073">
            <w:pPr>
              <w:overflowPunct/>
              <w:autoSpaceDE/>
              <w:autoSpaceDN/>
              <w:adjustRightInd/>
              <w:jc w:val="left"/>
              <w:textAlignment w:val="auto"/>
              <w:rPr>
                <w:rFonts w:ascii="Verdana" w:hAnsi="Verdana" w:cs="Calibri"/>
                <w:color w:val="000000"/>
                <w:szCs w:val="18"/>
                <w:lang w:eastAsia="en-GB"/>
              </w:rPr>
            </w:pPr>
            <w:r w:rsidRPr="002D4086">
              <w:rPr>
                <w:rFonts w:ascii="Verdana" w:hAnsi="Verdana" w:cs="Calibri"/>
                <w:color w:val="000000"/>
                <w:szCs w:val="18"/>
                <w:lang w:eastAsia="en-GB"/>
              </w:rPr>
              <w:t xml:space="preserve">Director of </w:t>
            </w:r>
            <w:r>
              <w:rPr>
                <w:rFonts w:ascii="Verdana" w:hAnsi="Verdana" w:cs="Calibri"/>
                <w:color w:val="000000"/>
                <w:szCs w:val="18"/>
                <w:lang w:eastAsia="en-GB"/>
              </w:rPr>
              <w:t>Asset Management</w:t>
            </w:r>
            <w:r w:rsidRPr="002D4086">
              <w:rPr>
                <w:rFonts w:ascii="Verdana" w:hAnsi="Verdana" w:cs="Calibri"/>
                <w:color w:val="000000"/>
                <w:szCs w:val="18"/>
                <w:lang w:eastAsia="en-GB"/>
              </w:rPr>
              <w:t xml:space="preserve"> (interim)</w:t>
            </w:r>
          </w:p>
        </w:tc>
        <w:tc>
          <w:tcPr>
            <w:tcW w:w="1843" w:type="dxa"/>
            <w:tcBorders>
              <w:top w:val="nil"/>
              <w:left w:val="nil"/>
              <w:bottom w:val="single" w:color="auto" w:sz="4" w:space="0"/>
              <w:right w:val="single" w:color="auto" w:sz="4" w:space="0"/>
            </w:tcBorders>
            <w:shd w:val="clear" w:color="auto" w:fill="auto"/>
            <w:noWrap/>
            <w:vAlign w:val="center"/>
            <w:hideMark/>
          </w:tcPr>
          <w:p w:rsidRPr="002D4086" w:rsidR="00020073" w:rsidP="003049C1" w:rsidRDefault="00020073">
            <w:pPr>
              <w:overflowPunct/>
              <w:autoSpaceDE/>
              <w:autoSpaceDN/>
              <w:adjustRightInd/>
              <w:jc w:val="left"/>
              <w:textAlignment w:val="auto"/>
              <w:rPr>
                <w:rFonts w:ascii="Verdana" w:hAnsi="Verdana" w:cs="Calibri"/>
                <w:color w:val="000000"/>
                <w:szCs w:val="18"/>
                <w:lang w:eastAsia="en-GB"/>
              </w:rPr>
            </w:pPr>
            <w:r>
              <w:rPr>
                <w:rFonts w:ascii="Verdana" w:hAnsi="Verdana" w:cs="Calibri"/>
                <w:color w:val="000000"/>
                <w:szCs w:val="18"/>
                <w:lang w:eastAsia="en-GB"/>
              </w:rPr>
              <w:t>18-Jul</w:t>
            </w:r>
            <w:r w:rsidRPr="002D4086">
              <w:rPr>
                <w:rFonts w:ascii="Verdana" w:hAnsi="Verdana" w:cs="Calibri"/>
                <w:color w:val="000000"/>
                <w:szCs w:val="18"/>
                <w:lang w:eastAsia="en-GB"/>
              </w:rPr>
              <w:t>-201</w:t>
            </w:r>
            <w:r>
              <w:rPr>
                <w:rFonts w:ascii="Verdana" w:hAnsi="Verdana" w:cs="Calibri"/>
                <w:color w:val="000000"/>
                <w:szCs w:val="18"/>
                <w:lang w:eastAsia="en-GB"/>
              </w:rPr>
              <w:t>6</w:t>
            </w:r>
          </w:p>
        </w:tc>
        <w:tc>
          <w:tcPr>
            <w:tcW w:w="1843" w:type="dxa"/>
            <w:tcBorders>
              <w:top w:val="nil"/>
              <w:left w:val="nil"/>
              <w:bottom w:val="single" w:color="auto" w:sz="4" w:space="0"/>
              <w:right w:val="single" w:color="auto" w:sz="4" w:space="0"/>
            </w:tcBorders>
            <w:shd w:val="clear" w:color="auto" w:fill="auto"/>
            <w:noWrap/>
            <w:vAlign w:val="center"/>
            <w:hideMark/>
          </w:tcPr>
          <w:p w:rsidRPr="002D4086" w:rsidR="00020073" w:rsidP="00020073" w:rsidRDefault="00225367">
            <w:pPr>
              <w:overflowPunct/>
              <w:autoSpaceDE/>
              <w:autoSpaceDN/>
              <w:adjustRightInd/>
              <w:jc w:val="center"/>
              <w:textAlignment w:val="auto"/>
              <w:rPr>
                <w:rFonts w:ascii="Verdana" w:hAnsi="Verdana" w:cs="Calibri"/>
                <w:szCs w:val="18"/>
                <w:lang w:eastAsia="en-GB"/>
              </w:rPr>
            </w:pPr>
            <w:r>
              <w:rPr>
                <w:rFonts w:ascii="Verdana" w:hAnsi="Verdana" w:cs="Calibri"/>
                <w:szCs w:val="18"/>
                <w:lang w:eastAsia="en-GB"/>
              </w:rPr>
              <w:t>Jan 2018</w:t>
            </w:r>
          </w:p>
        </w:tc>
      </w:tr>
      <w:tr w:rsidRPr="002D4086" w:rsidR="00020073" w:rsidTr="00225367">
        <w:trPr>
          <w:trHeight w:val="300"/>
        </w:trPr>
        <w:tc>
          <w:tcPr>
            <w:tcW w:w="1716"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D4086" w:rsidR="00020073" w:rsidP="00020073" w:rsidRDefault="00020073">
            <w:pPr>
              <w:overflowPunct/>
              <w:autoSpaceDE/>
              <w:autoSpaceDN/>
              <w:adjustRightInd/>
              <w:jc w:val="left"/>
              <w:textAlignment w:val="auto"/>
              <w:rPr>
                <w:rFonts w:ascii="Verdana" w:hAnsi="Verdana" w:cs="Calibri"/>
                <w:color w:val="000000"/>
                <w:szCs w:val="18"/>
                <w:lang w:eastAsia="en-GB"/>
              </w:rPr>
            </w:pPr>
            <w:r>
              <w:rPr>
                <w:rFonts w:ascii="Verdana" w:hAnsi="Verdana" w:cs="Calibri"/>
                <w:color w:val="000000"/>
                <w:szCs w:val="18"/>
                <w:lang w:eastAsia="en-GB"/>
              </w:rPr>
              <w:t>Neil Isaac</w:t>
            </w:r>
          </w:p>
        </w:tc>
        <w:tc>
          <w:tcPr>
            <w:tcW w:w="4111" w:type="dxa"/>
            <w:tcBorders>
              <w:top w:val="single" w:color="auto" w:sz="4" w:space="0"/>
              <w:left w:val="nil"/>
              <w:bottom w:val="single" w:color="auto" w:sz="4" w:space="0"/>
              <w:right w:val="single" w:color="auto" w:sz="4" w:space="0"/>
            </w:tcBorders>
            <w:shd w:val="clear" w:color="auto" w:fill="auto"/>
            <w:noWrap/>
            <w:vAlign w:val="center"/>
            <w:hideMark/>
          </w:tcPr>
          <w:p w:rsidRPr="002D4086" w:rsidR="00020073" w:rsidP="00E23724" w:rsidRDefault="00020073">
            <w:pPr>
              <w:overflowPunct/>
              <w:autoSpaceDE/>
              <w:autoSpaceDN/>
              <w:adjustRightInd/>
              <w:jc w:val="left"/>
              <w:textAlignment w:val="auto"/>
              <w:rPr>
                <w:rFonts w:ascii="Verdana" w:hAnsi="Verdana" w:cs="Calibri"/>
                <w:color w:val="000000"/>
                <w:szCs w:val="18"/>
                <w:lang w:eastAsia="en-GB"/>
              </w:rPr>
            </w:pPr>
            <w:r w:rsidRPr="002D4086">
              <w:rPr>
                <w:rFonts w:ascii="Verdana" w:hAnsi="Verdana" w:cs="Calibri"/>
                <w:color w:val="000000"/>
                <w:szCs w:val="18"/>
                <w:lang w:eastAsia="en-GB"/>
              </w:rPr>
              <w:t xml:space="preserve">Director of </w:t>
            </w:r>
            <w:r w:rsidR="00E23724">
              <w:rPr>
                <w:rFonts w:ascii="Verdana" w:hAnsi="Verdana" w:cs="Calibri"/>
                <w:color w:val="000000"/>
                <w:szCs w:val="18"/>
                <w:lang w:eastAsia="en-GB"/>
              </w:rPr>
              <w:t xml:space="preserve">Finance </w:t>
            </w:r>
            <w:r w:rsidRPr="002D4086">
              <w:rPr>
                <w:rFonts w:ascii="Verdana" w:hAnsi="Verdana" w:cs="Calibri"/>
                <w:color w:val="000000"/>
                <w:szCs w:val="18"/>
                <w:lang w:eastAsia="en-GB"/>
              </w:rPr>
              <w:t>(interim)</w:t>
            </w:r>
          </w:p>
        </w:tc>
        <w:tc>
          <w:tcPr>
            <w:tcW w:w="1843" w:type="dxa"/>
            <w:tcBorders>
              <w:top w:val="single" w:color="auto" w:sz="4" w:space="0"/>
              <w:left w:val="nil"/>
              <w:bottom w:val="single" w:color="auto" w:sz="4" w:space="0"/>
              <w:right w:val="single" w:color="auto" w:sz="4" w:space="0"/>
            </w:tcBorders>
            <w:shd w:val="clear" w:color="auto" w:fill="auto"/>
            <w:noWrap/>
            <w:vAlign w:val="center"/>
            <w:hideMark/>
          </w:tcPr>
          <w:p w:rsidRPr="002D4086" w:rsidR="00020073" w:rsidP="003049C1" w:rsidRDefault="00E23724">
            <w:pPr>
              <w:overflowPunct/>
              <w:autoSpaceDE/>
              <w:autoSpaceDN/>
              <w:adjustRightInd/>
              <w:jc w:val="left"/>
              <w:textAlignment w:val="auto"/>
              <w:rPr>
                <w:rFonts w:ascii="Verdana" w:hAnsi="Verdana" w:cs="Calibri"/>
                <w:color w:val="000000"/>
                <w:szCs w:val="18"/>
                <w:lang w:eastAsia="en-GB"/>
              </w:rPr>
            </w:pPr>
            <w:r>
              <w:rPr>
                <w:rFonts w:ascii="Verdana" w:hAnsi="Verdana" w:cs="Calibri"/>
                <w:color w:val="000000"/>
                <w:szCs w:val="18"/>
                <w:lang w:eastAsia="en-GB"/>
              </w:rPr>
              <w:t>16-Sept-2016</w:t>
            </w:r>
          </w:p>
        </w:tc>
        <w:tc>
          <w:tcPr>
            <w:tcW w:w="1843" w:type="dxa"/>
            <w:tcBorders>
              <w:top w:val="single" w:color="auto" w:sz="4" w:space="0"/>
              <w:left w:val="nil"/>
              <w:bottom w:val="single" w:color="auto" w:sz="4" w:space="0"/>
              <w:right w:val="single" w:color="auto" w:sz="4" w:space="0"/>
            </w:tcBorders>
            <w:shd w:val="clear" w:color="auto" w:fill="auto"/>
            <w:noWrap/>
            <w:vAlign w:val="center"/>
            <w:hideMark/>
          </w:tcPr>
          <w:p w:rsidRPr="002D4086" w:rsidR="00020073" w:rsidP="00020073" w:rsidRDefault="00020073">
            <w:pPr>
              <w:overflowPunct/>
              <w:autoSpaceDE/>
              <w:autoSpaceDN/>
              <w:adjustRightInd/>
              <w:jc w:val="center"/>
              <w:textAlignment w:val="auto"/>
              <w:rPr>
                <w:rFonts w:ascii="Verdana" w:hAnsi="Verdana" w:cs="Calibri"/>
                <w:szCs w:val="18"/>
                <w:lang w:eastAsia="en-GB"/>
              </w:rPr>
            </w:pPr>
          </w:p>
        </w:tc>
      </w:tr>
      <w:tr w:rsidRPr="002D4086" w:rsidR="00225367" w:rsidTr="00225367">
        <w:trPr>
          <w:trHeight w:val="300"/>
        </w:trPr>
        <w:tc>
          <w:tcPr>
            <w:tcW w:w="1716" w:type="dxa"/>
            <w:tcBorders>
              <w:top w:val="single" w:color="auto" w:sz="4" w:space="0"/>
              <w:left w:val="single" w:color="auto" w:sz="4" w:space="0"/>
              <w:bottom w:val="single" w:color="auto" w:sz="4" w:space="0"/>
              <w:right w:val="single" w:color="auto" w:sz="4" w:space="0"/>
            </w:tcBorders>
            <w:shd w:val="clear" w:color="auto" w:fill="auto"/>
            <w:noWrap/>
            <w:vAlign w:val="center"/>
          </w:tcPr>
          <w:p w:rsidR="00225367" w:rsidP="00020073" w:rsidRDefault="00225367">
            <w:pPr>
              <w:overflowPunct/>
              <w:autoSpaceDE/>
              <w:autoSpaceDN/>
              <w:adjustRightInd/>
              <w:jc w:val="left"/>
              <w:textAlignment w:val="auto"/>
              <w:rPr>
                <w:rFonts w:ascii="Verdana" w:hAnsi="Verdana" w:cs="Calibri"/>
                <w:color w:val="000000"/>
                <w:szCs w:val="18"/>
                <w:lang w:eastAsia="en-GB"/>
              </w:rPr>
            </w:pPr>
            <w:r>
              <w:rPr>
                <w:rFonts w:ascii="Verdana" w:hAnsi="Verdana" w:cs="Calibri"/>
                <w:color w:val="000000"/>
                <w:szCs w:val="18"/>
                <w:lang w:eastAsia="en-GB"/>
              </w:rPr>
              <w:t>Will Manning</w:t>
            </w:r>
          </w:p>
        </w:tc>
        <w:tc>
          <w:tcPr>
            <w:tcW w:w="4111" w:type="dxa"/>
            <w:tcBorders>
              <w:top w:val="single" w:color="auto" w:sz="4" w:space="0"/>
              <w:left w:val="nil"/>
              <w:bottom w:val="single" w:color="auto" w:sz="4" w:space="0"/>
              <w:right w:val="single" w:color="auto" w:sz="4" w:space="0"/>
            </w:tcBorders>
            <w:shd w:val="clear" w:color="auto" w:fill="auto"/>
            <w:noWrap/>
            <w:vAlign w:val="center"/>
          </w:tcPr>
          <w:p w:rsidRPr="002D4086" w:rsidR="00225367" w:rsidP="00E23724" w:rsidRDefault="00225367">
            <w:pPr>
              <w:overflowPunct/>
              <w:autoSpaceDE/>
              <w:autoSpaceDN/>
              <w:adjustRightInd/>
              <w:jc w:val="left"/>
              <w:textAlignment w:val="auto"/>
              <w:rPr>
                <w:rFonts w:ascii="Verdana" w:hAnsi="Verdana" w:cs="Calibri"/>
                <w:color w:val="000000"/>
                <w:szCs w:val="18"/>
                <w:lang w:eastAsia="en-GB"/>
              </w:rPr>
            </w:pPr>
            <w:r>
              <w:rPr>
                <w:rFonts w:ascii="Verdana" w:hAnsi="Verdana" w:cs="Calibri"/>
                <w:color w:val="000000"/>
                <w:szCs w:val="18"/>
                <w:lang w:eastAsia="en-GB"/>
              </w:rPr>
              <w:t>Director of Asset Management</w:t>
            </w:r>
          </w:p>
        </w:tc>
        <w:tc>
          <w:tcPr>
            <w:tcW w:w="1843" w:type="dxa"/>
            <w:tcBorders>
              <w:top w:val="single" w:color="auto" w:sz="4" w:space="0"/>
              <w:left w:val="nil"/>
              <w:bottom w:val="single" w:color="auto" w:sz="4" w:space="0"/>
              <w:right w:val="single" w:color="auto" w:sz="4" w:space="0"/>
            </w:tcBorders>
            <w:shd w:val="clear" w:color="auto" w:fill="auto"/>
            <w:noWrap/>
            <w:vAlign w:val="center"/>
          </w:tcPr>
          <w:p w:rsidR="00225367" w:rsidP="003049C1" w:rsidRDefault="00225367">
            <w:pPr>
              <w:overflowPunct/>
              <w:autoSpaceDE/>
              <w:autoSpaceDN/>
              <w:adjustRightInd/>
              <w:jc w:val="left"/>
              <w:textAlignment w:val="auto"/>
              <w:rPr>
                <w:rFonts w:ascii="Verdana" w:hAnsi="Verdana" w:cs="Calibri"/>
                <w:color w:val="000000"/>
                <w:szCs w:val="18"/>
                <w:lang w:eastAsia="en-GB"/>
              </w:rPr>
            </w:pPr>
            <w:r>
              <w:rPr>
                <w:rFonts w:ascii="Verdana" w:hAnsi="Verdana" w:cs="Calibri"/>
                <w:color w:val="000000"/>
                <w:szCs w:val="18"/>
                <w:lang w:eastAsia="en-GB"/>
              </w:rPr>
              <w:t>Jan 2018</w:t>
            </w:r>
          </w:p>
        </w:tc>
        <w:tc>
          <w:tcPr>
            <w:tcW w:w="1843" w:type="dxa"/>
            <w:tcBorders>
              <w:top w:val="single" w:color="auto" w:sz="4" w:space="0"/>
              <w:left w:val="nil"/>
              <w:bottom w:val="single" w:color="auto" w:sz="4" w:space="0"/>
              <w:right w:val="single" w:color="auto" w:sz="4" w:space="0"/>
            </w:tcBorders>
            <w:shd w:val="clear" w:color="auto" w:fill="auto"/>
            <w:noWrap/>
            <w:vAlign w:val="center"/>
          </w:tcPr>
          <w:p w:rsidRPr="002D4086" w:rsidR="00225367" w:rsidP="00020073" w:rsidRDefault="00225367">
            <w:pPr>
              <w:overflowPunct/>
              <w:autoSpaceDE/>
              <w:autoSpaceDN/>
              <w:adjustRightInd/>
              <w:jc w:val="center"/>
              <w:textAlignment w:val="auto"/>
              <w:rPr>
                <w:rFonts w:ascii="Verdana" w:hAnsi="Verdana" w:cs="Calibri"/>
                <w:szCs w:val="18"/>
                <w:lang w:eastAsia="en-GB"/>
              </w:rPr>
            </w:pPr>
          </w:p>
        </w:tc>
      </w:tr>
    </w:tbl>
    <w:p w:rsidRPr="00681863" w:rsidR="002D4086" w:rsidP="002302B9" w:rsidRDefault="002D4086">
      <w:pPr>
        <w:rPr>
          <w:rFonts w:ascii="Verdana" w:hAnsi="Verdana" w:cs="Arial"/>
          <w:sz w:val="20"/>
        </w:rPr>
      </w:pPr>
    </w:p>
    <w:p w:rsidRPr="00681863" w:rsidR="000F2724" w:rsidRDefault="000F2724">
      <w:pPr>
        <w:rPr>
          <w:rFonts w:ascii="Verdana" w:hAnsi="Verdana" w:cs="Arial"/>
          <w:sz w:val="20"/>
        </w:rPr>
      </w:pPr>
    </w:p>
    <w:p w:rsidRPr="00681863" w:rsidR="00312324" w:rsidRDefault="00312324">
      <w:pPr>
        <w:rPr>
          <w:rFonts w:ascii="Verdana" w:hAnsi="Verdana" w:cs="Arial"/>
        </w:rPr>
        <w:sectPr w:rsidRPr="00681863" w:rsidR="00312324" w:rsidSect="00475708">
          <w:footerReference w:type="default" r:id="rId13"/>
          <w:footerReference w:type="first" r:id="rId14"/>
          <w:type w:val="continuous"/>
          <w:pgSz w:w="11907" w:h="16840" w:code="9"/>
          <w:pgMar w:top="2041" w:right="1134" w:bottom="1418" w:left="1276" w:header="720" w:footer="425" w:gutter="0"/>
          <w:cols w:space="720"/>
        </w:sectPr>
      </w:pPr>
    </w:p>
    <w:p w:rsidRPr="00D24232" w:rsidR="006E55F0" w:rsidP="006E55F0" w:rsidRDefault="00475708">
      <w:pPr>
        <w:pStyle w:val="ACSectionTOCHeading"/>
        <w:rPr>
          <w:rFonts w:ascii="Verdana" w:hAnsi="Verdana" w:cs="Arial"/>
          <w:highlight w:val="yellow"/>
        </w:rPr>
      </w:pPr>
      <w:bookmarkStart w:name="_Toc360004342" w:id="5"/>
      <w:bookmarkStart w:name="_Toc372451426" w:id="6"/>
      <w:bookmarkStart w:name="_Toc372714797" w:id="7"/>
      <w:bookmarkStart w:name="_Toc373827135" w:id="8"/>
      <w:bookmarkStart w:name="_Toc374516811" w:id="9"/>
      <w:bookmarkStart w:name="_Toc379084153" w:id="10"/>
      <w:bookmarkStart w:name="_Toc379084659" w:id="11"/>
      <w:bookmarkStart w:name="_Toc379288012" w:id="12"/>
      <w:bookmarkStart w:name="_Toc379340736" w:id="13"/>
      <w:bookmarkStart w:name="_Toc379431132" w:id="14"/>
      <w:bookmarkStart w:name="_Toc386095953" w:id="15"/>
      <w:bookmarkStart w:name="_Toc386274260" w:id="16"/>
      <w:bookmarkStart w:name="_Toc457718232" w:id="17"/>
      <w:bookmarkStart w:name="_Toc533480456" w:id="18"/>
      <w:r>
        <w:rPr>
          <w:rFonts w:ascii="Verdana" w:hAnsi="Verdana" w:cs="Arial"/>
        </w:rPr>
        <w:lastRenderedPageBreak/>
        <w:br w:type="page"/>
      </w:r>
      <w:bookmarkEnd w:id="5"/>
      <w:bookmarkEnd w:id="6"/>
      <w:bookmarkEnd w:id="7"/>
      <w:bookmarkEnd w:id="8"/>
      <w:bookmarkEnd w:id="9"/>
      <w:bookmarkEnd w:id="10"/>
      <w:bookmarkEnd w:id="11"/>
      <w:bookmarkEnd w:id="12"/>
      <w:bookmarkEnd w:id="13"/>
      <w:bookmarkEnd w:id="14"/>
      <w:bookmarkEnd w:id="15"/>
      <w:bookmarkEnd w:id="16"/>
      <w:bookmarkEnd w:id="17"/>
      <w:bookmarkEnd w:id="18"/>
      <w:r w:rsidRPr="00D24232" w:rsidR="006E55F0">
        <w:rPr>
          <w:rFonts w:ascii="Verdana" w:hAnsi="Verdana" w:cs="Arial"/>
          <w:highlight w:val="yellow"/>
        </w:rPr>
        <w:lastRenderedPageBreak/>
        <w:t>Directors’ report</w:t>
      </w:r>
    </w:p>
    <w:p w:rsidRPr="00D24232" w:rsidR="006E55F0" w:rsidP="006E55F0" w:rsidRDefault="006E55F0">
      <w:pPr>
        <w:pStyle w:val="ACText"/>
        <w:rPr>
          <w:rFonts w:ascii="Verdana" w:hAnsi="Verdana" w:cs="Arial"/>
          <w:highlight w:val="yellow"/>
        </w:rPr>
      </w:pPr>
    </w:p>
    <w:p w:rsidRPr="00D24232" w:rsidR="006E55F0" w:rsidP="006E55F0" w:rsidRDefault="006E55F0">
      <w:pPr>
        <w:pStyle w:val="ACText"/>
        <w:rPr>
          <w:rFonts w:ascii="Verdana" w:hAnsi="Verdana" w:cs="Arial"/>
          <w:highlight w:val="yellow"/>
        </w:rPr>
      </w:pPr>
      <w:r w:rsidRPr="00D24232">
        <w:rPr>
          <w:rFonts w:ascii="Verdana" w:hAnsi="Verdana" w:cs="Arial"/>
          <w:highlight w:val="yellow"/>
        </w:rPr>
        <w:t xml:space="preserve">The Directors present their report and the audited financial statements </w:t>
      </w:r>
      <w:r w:rsidRPr="00D24232" w:rsidR="00E74958">
        <w:rPr>
          <w:rFonts w:ascii="Verdana" w:hAnsi="Verdana" w:cs="Arial"/>
          <w:highlight w:val="yellow"/>
        </w:rPr>
        <w:t>for the year ended 31 March 2018</w:t>
      </w:r>
      <w:r w:rsidRPr="00D24232">
        <w:rPr>
          <w:rFonts w:ascii="Verdana" w:hAnsi="Verdana" w:cs="Arial"/>
          <w:highlight w:val="yellow"/>
        </w:rPr>
        <w:t xml:space="preserve">.   </w:t>
      </w:r>
    </w:p>
    <w:p w:rsidRPr="00D24232" w:rsidR="006E55F0" w:rsidP="006E55F0" w:rsidRDefault="006E55F0">
      <w:pPr>
        <w:pStyle w:val="ACText"/>
        <w:rPr>
          <w:rFonts w:ascii="Verdana" w:hAnsi="Verdana"/>
          <w:b/>
          <w:highlight w:val="yellow"/>
        </w:rPr>
      </w:pPr>
      <w:r w:rsidRPr="00D24232">
        <w:rPr>
          <w:rFonts w:ascii="Verdana" w:hAnsi="Verdana"/>
          <w:b/>
          <w:highlight w:val="yellow"/>
        </w:rPr>
        <w:t>Legal Status</w:t>
      </w:r>
    </w:p>
    <w:p w:rsidRPr="00D24232" w:rsidR="006E55F0" w:rsidP="006E55F0" w:rsidRDefault="006E55F0">
      <w:pPr>
        <w:pStyle w:val="ACText"/>
        <w:rPr>
          <w:rFonts w:ascii="Verdana" w:hAnsi="Verdana"/>
          <w:highlight w:val="yellow"/>
        </w:rPr>
      </w:pPr>
      <w:r w:rsidRPr="00D24232">
        <w:rPr>
          <w:rFonts w:ascii="Verdana" w:hAnsi="Verdana"/>
          <w:highlight w:val="yellow"/>
        </w:rPr>
        <w:t>The Company is a controlled company (by the London Borough of Tower Hamlets), limited by guarantee without any share capital. The Council undertakes, in the event of the Company being wound up, to contribute such amount as may be required for the payment of the debts and liabilities of the Company providing this amount does not exceed £1.</w:t>
      </w:r>
    </w:p>
    <w:p w:rsidRPr="00D24232" w:rsidR="006E55F0" w:rsidP="006E55F0" w:rsidRDefault="006E55F0">
      <w:pPr>
        <w:pStyle w:val="ACText"/>
        <w:rPr>
          <w:rFonts w:ascii="Verdana" w:hAnsi="Verdana"/>
          <w:highlight w:val="yellow"/>
        </w:rPr>
      </w:pPr>
      <w:r w:rsidRPr="00D24232">
        <w:rPr>
          <w:rFonts w:ascii="Verdana" w:hAnsi="Verdana"/>
          <w:highlight w:val="yellow"/>
        </w:rPr>
        <w:t>The Company was overseen by a Board which met regularly throughout the year. The composition of the Board reflects the range and mix of skills and experience required for the effective management of the Company.</w:t>
      </w:r>
    </w:p>
    <w:p w:rsidRPr="00D24232" w:rsidR="006E55F0" w:rsidP="006E55F0" w:rsidRDefault="006E55F0">
      <w:pPr>
        <w:pStyle w:val="ACText"/>
        <w:rPr>
          <w:rFonts w:ascii="Verdana" w:hAnsi="Verdana"/>
          <w:highlight w:val="yellow"/>
        </w:rPr>
      </w:pPr>
      <w:r w:rsidRPr="00D24232">
        <w:rPr>
          <w:rFonts w:ascii="Verdana" w:hAnsi="Verdana"/>
          <w:highlight w:val="yellow"/>
        </w:rPr>
        <w:t>The day to day running of the Company’s business has been delegated by the Board to the Strategic Management Team.</w:t>
      </w:r>
    </w:p>
    <w:p w:rsidRPr="00D24232" w:rsidR="006E55F0" w:rsidP="006E55F0" w:rsidRDefault="006E55F0">
      <w:pPr>
        <w:pStyle w:val="ACText"/>
        <w:rPr>
          <w:rFonts w:ascii="Verdana" w:hAnsi="Verdana" w:cs="Arial"/>
          <w:highlight w:val="yellow"/>
        </w:rPr>
      </w:pPr>
      <w:r w:rsidRPr="00D24232">
        <w:rPr>
          <w:rFonts w:ascii="Verdana" w:hAnsi="Verdana" w:cs="Arial"/>
          <w:b/>
          <w:highlight w:val="yellow"/>
        </w:rPr>
        <w:t>Dividends</w:t>
      </w:r>
    </w:p>
    <w:p w:rsidRPr="00D24232" w:rsidR="006E55F0" w:rsidP="006E55F0" w:rsidRDefault="006E55F0">
      <w:pPr>
        <w:pStyle w:val="ACText"/>
        <w:rPr>
          <w:rFonts w:ascii="Verdana" w:hAnsi="Verdana" w:cs="Arial"/>
          <w:b/>
          <w:highlight w:val="yellow"/>
        </w:rPr>
      </w:pPr>
      <w:r w:rsidRPr="00D24232">
        <w:rPr>
          <w:rFonts w:ascii="Verdana" w:hAnsi="Verdana" w:cs="Arial"/>
          <w:highlight w:val="yellow"/>
        </w:rPr>
        <w:t>The company is limited by guarantee and does not have a share capital, or shareholders.</w:t>
      </w:r>
      <w:r w:rsidRPr="00D24232">
        <w:rPr>
          <w:rFonts w:ascii="Verdana" w:hAnsi="Verdana" w:cs="Arial"/>
          <w:b/>
          <w:highlight w:val="yellow"/>
        </w:rPr>
        <w:t xml:space="preserve"> </w:t>
      </w:r>
    </w:p>
    <w:p w:rsidRPr="00D24232" w:rsidR="006E55F0" w:rsidP="006E55F0" w:rsidRDefault="006E55F0">
      <w:pPr>
        <w:pStyle w:val="ACText"/>
        <w:rPr>
          <w:rFonts w:ascii="Verdana" w:hAnsi="Verdana" w:cs="Arial"/>
          <w:highlight w:val="yellow"/>
        </w:rPr>
      </w:pPr>
      <w:r w:rsidRPr="00D24232">
        <w:rPr>
          <w:rFonts w:ascii="Verdana" w:hAnsi="Verdana" w:cs="Arial"/>
          <w:b/>
          <w:highlight w:val="yellow"/>
        </w:rPr>
        <w:t>Directors and directors’ interests</w:t>
      </w:r>
    </w:p>
    <w:p w:rsidRPr="00D24232" w:rsidR="006E55F0" w:rsidP="006E55F0" w:rsidRDefault="006E55F0">
      <w:pPr>
        <w:pStyle w:val="ACText"/>
        <w:rPr>
          <w:rFonts w:ascii="Verdana" w:hAnsi="Verdana"/>
          <w:highlight w:val="yellow"/>
        </w:rPr>
      </w:pPr>
      <w:r w:rsidRPr="00D24232">
        <w:rPr>
          <w:rFonts w:ascii="Verdana" w:hAnsi="Verdana"/>
          <w:highlight w:val="yellow"/>
        </w:rPr>
        <w:t>The directors who held office during the period</w:t>
      </w:r>
      <w:r w:rsidRPr="00D24232" w:rsidR="00A22F3F">
        <w:rPr>
          <w:rFonts w:ascii="Verdana" w:hAnsi="Verdana"/>
          <w:highlight w:val="yellow"/>
        </w:rPr>
        <w:t xml:space="preserve"> are detailed on page 3</w:t>
      </w:r>
      <w:r w:rsidRPr="00D24232">
        <w:rPr>
          <w:rFonts w:ascii="Verdana" w:hAnsi="Verdana"/>
          <w:highlight w:val="yellow"/>
        </w:rPr>
        <w:t>. The company has no shares or shareholders.</w:t>
      </w:r>
    </w:p>
    <w:p w:rsidRPr="00D24232" w:rsidR="006E55F0" w:rsidP="006E55F0" w:rsidRDefault="006E55F0">
      <w:pPr>
        <w:pStyle w:val="ACSectionTOCHeading"/>
        <w:rPr>
          <w:rFonts w:ascii="Verdana" w:hAnsi="Verdana" w:cs="Arial"/>
          <w:sz w:val="20"/>
          <w:highlight w:val="yellow"/>
        </w:rPr>
      </w:pPr>
    </w:p>
    <w:p w:rsidRPr="00D24232" w:rsidR="006E55F0" w:rsidP="006E55F0" w:rsidRDefault="006E55F0">
      <w:pPr>
        <w:pStyle w:val="ACSectionTOCHeading"/>
        <w:rPr>
          <w:rFonts w:ascii="Verdana" w:hAnsi="Verdana" w:cs="Arial"/>
          <w:sz w:val="20"/>
          <w:highlight w:val="yellow"/>
        </w:rPr>
      </w:pPr>
      <w:r w:rsidRPr="00D24232">
        <w:rPr>
          <w:rFonts w:ascii="Verdana" w:hAnsi="Verdana" w:cs="Arial"/>
          <w:sz w:val="20"/>
          <w:highlight w:val="yellow"/>
        </w:rPr>
        <w:t>Political and charitable contributions</w:t>
      </w:r>
    </w:p>
    <w:p w:rsidRPr="00D24232" w:rsidR="006E55F0" w:rsidP="006E55F0" w:rsidRDefault="006E55F0">
      <w:pPr>
        <w:pStyle w:val="ACText"/>
        <w:rPr>
          <w:rFonts w:ascii="Verdana" w:hAnsi="Verdana" w:cs="Arial"/>
          <w:highlight w:val="yellow"/>
        </w:rPr>
      </w:pPr>
      <w:r w:rsidRPr="00D24232">
        <w:rPr>
          <w:rFonts w:ascii="Verdana" w:hAnsi="Verdana" w:cs="Arial"/>
          <w:highlight w:val="yellow"/>
        </w:rPr>
        <w:t>The Company made no contributions to political or charitable organisations.</w:t>
      </w:r>
    </w:p>
    <w:p w:rsidRPr="00D24232" w:rsidR="006E55F0" w:rsidP="006E55F0" w:rsidRDefault="006E55F0">
      <w:pPr>
        <w:pStyle w:val="ACNotesText"/>
        <w:rPr>
          <w:rFonts w:ascii="Verdana" w:hAnsi="Verdana" w:cs="Arial"/>
          <w:b/>
          <w:highlight w:val="yellow"/>
        </w:rPr>
      </w:pPr>
      <w:r w:rsidRPr="00D24232">
        <w:rPr>
          <w:rFonts w:ascii="Verdana" w:hAnsi="Verdana" w:cs="Arial"/>
          <w:b/>
          <w:highlight w:val="yellow"/>
        </w:rPr>
        <w:t>Employment of Disabled Persons</w:t>
      </w:r>
    </w:p>
    <w:p w:rsidRPr="00D24232" w:rsidR="006E55F0" w:rsidP="006E55F0" w:rsidRDefault="006E55F0">
      <w:pPr>
        <w:pStyle w:val="ACNotesText"/>
        <w:rPr>
          <w:rFonts w:ascii="Verdana" w:hAnsi="Verdana" w:cs="Arial"/>
          <w:highlight w:val="yellow"/>
        </w:rPr>
      </w:pPr>
      <w:r w:rsidRPr="00D24232">
        <w:rPr>
          <w:rFonts w:ascii="Verdana" w:hAnsi="Verdana" w:cs="Arial"/>
          <w:highlight w:val="yellow"/>
        </w:rPr>
        <w:t>THH promotes equality of opportunity in its recruitment, selection, training and development policies and practice.</w:t>
      </w:r>
    </w:p>
    <w:p w:rsidRPr="00D24232" w:rsidR="006E55F0" w:rsidP="006E55F0" w:rsidRDefault="006E55F0">
      <w:pPr>
        <w:pStyle w:val="ACNotesText"/>
        <w:rPr>
          <w:rFonts w:ascii="Verdana" w:hAnsi="Verdana" w:cs="Arial"/>
          <w:highlight w:val="yellow"/>
        </w:rPr>
      </w:pPr>
      <w:r w:rsidRPr="00D24232">
        <w:rPr>
          <w:rFonts w:ascii="Verdana" w:hAnsi="Verdana" w:cs="Arial"/>
          <w:highlight w:val="yellow"/>
        </w:rPr>
        <w:t>We welcome applications from applicants with disabilities and evaluate solely on ability to carry out the duties of the job, taking into account any reasonable adjustments required.</w:t>
      </w:r>
    </w:p>
    <w:p w:rsidRPr="00D24232" w:rsidR="006E55F0" w:rsidP="006E55F0" w:rsidRDefault="006E55F0">
      <w:pPr>
        <w:pStyle w:val="ACNotesText"/>
        <w:rPr>
          <w:rFonts w:ascii="Verdana" w:hAnsi="Verdana" w:cs="Arial"/>
          <w:b/>
          <w:highlight w:val="yellow"/>
        </w:rPr>
      </w:pPr>
      <w:r w:rsidRPr="00D24232">
        <w:rPr>
          <w:rFonts w:ascii="Verdana" w:hAnsi="Verdana" w:cs="Arial"/>
          <w:b/>
          <w:highlight w:val="yellow"/>
        </w:rPr>
        <w:t>Communications Policy</w:t>
      </w:r>
    </w:p>
    <w:p w:rsidRPr="00D24232" w:rsidR="006E55F0" w:rsidP="006E55F0" w:rsidRDefault="006E55F0">
      <w:pPr>
        <w:pStyle w:val="ACNotesText"/>
        <w:rPr>
          <w:rFonts w:ascii="Verdana" w:hAnsi="Verdana" w:cs="Arial"/>
          <w:highlight w:val="yellow"/>
        </w:rPr>
      </w:pPr>
      <w:r w:rsidRPr="00D24232">
        <w:rPr>
          <w:rFonts w:ascii="Verdana" w:hAnsi="Verdana" w:cs="Arial"/>
          <w:highlight w:val="yellow"/>
        </w:rPr>
        <w:t>The Company communicates all matters of financial or other interest to staff through its weekly electronic in-house newsletter, through team meetings or through other media as appropriate.</w:t>
      </w:r>
    </w:p>
    <w:p w:rsidRPr="00D24232" w:rsidR="006E55F0" w:rsidP="006E55F0" w:rsidRDefault="006E55F0">
      <w:pPr>
        <w:pStyle w:val="ACNotesText"/>
        <w:rPr>
          <w:rFonts w:ascii="Verdana" w:hAnsi="Verdana" w:cs="Arial"/>
          <w:b/>
          <w:highlight w:val="yellow"/>
        </w:rPr>
      </w:pPr>
      <w:r w:rsidRPr="00D24232">
        <w:rPr>
          <w:rFonts w:ascii="Verdana" w:hAnsi="Verdana" w:cs="Arial"/>
          <w:b/>
          <w:highlight w:val="yellow"/>
        </w:rPr>
        <w:t>Payment of Creditors</w:t>
      </w:r>
    </w:p>
    <w:p w:rsidRPr="00D24232" w:rsidR="006E55F0" w:rsidP="006E55F0" w:rsidRDefault="006E55F0">
      <w:pPr>
        <w:pStyle w:val="ACNotesText"/>
        <w:rPr>
          <w:rFonts w:ascii="Verdana" w:hAnsi="Verdana"/>
          <w:highlight w:val="yellow"/>
        </w:rPr>
      </w:pPr>
      <w:r w:rsidRPr="00D24232">
        <w:rPr>
          <w:rFonts w:ascii="Verdana" w:hAnsi="Verdana"/>
          <w:highlight w:val="yellow"/>
        </w:rPr>
        <w:t>The Company’s policy is to pay creditors as they fall due. At the 31 March 201</w:t>
      </w:r>
      <w:r w:rsidRPr="00D24232" w:rsidR="00E4332F">
        <w:rPr>
          <w:rFonts w:ascii="Verdana" w:hAnsi="Verdana"/>
          <w:highlight w:val="yellow"/>
        </w:rPr>
        <w:t>7</w:t>
      </w:r>
      <w:r w:rsidRPr="00D24232">
        <w:rPr>
          <w:rFonts w:ascii="Verdana" w:hAnsi="Verdana"/>
          <w:highlight w:val="yellow"/>
        </w:rPr>
        <w:t>, all creditors had been paid within the due dates.</w:t>
      </w:r>
    </w:p>
    <w:p w:rsidRPr="00D24232" w:rsidR="00E6477B" w:rsidP="00E6477B" w:rsidRDefault="00E6477B">
      <w:pPr>
        <w:pStyle w:val="Text"/>
        <w:spacing w:line="240" w:lineRule="auto"/>
        <w:ind w:right="287"/>
        <w:rPr>
          <w:rFonts w:ascii="Verdana" w:hAnsi="Verdana" w:cs="Arial"/>
          <w:b/>
          <w:sz w:val="20"/>
          <w:highlight w:val="yellow"/>
        </w:rPr>
      </w:pPr>
    </w:p>
    <w:p w:rsidRPr="00D24232" w:rsidR="006E55F0" w:rsidP="00E6477B" w:rsidRDefault="006E55F0">
      <w:pPr>
        <w:pStyle w:val="Text"/>
        <w:spacing w:line="240" w:lineRule="auto"/>
        <w:ind w:right="287"/>
        <w:rPr>
          <w:rFonts w:ascii="Verdana" w:hAnsi="Verdana" w:cs="Arial"/>
          <w:b/>
          <w:sz w:val="20"/>
          <w:highlight w:val="yellow"/>
        </w:rPr>
      </w:pPr>
      <w:r w:rsidRPr="00D24232">
        <w:rPr>
          <w:rFonts w:ascii="Verdana" w:hAnsi="Verdana" w:cs="Arial"/>
          <w:b/>
          <w:sz w:val="20"/>
          <w:highlight w:val="yellow"/>
        </w:rPr>
        <w:t>Directors’ declaration</w:t>
      </w:r>
    </w:p>
    <w:p w:rsidRPr="00D24232" w:rsidR="006E55F0" w:rsidP="006E55F0" w:rsidRDefault="006E55F0">
      <w:pPr>
        <w:pStyle w:val="Text"/>
        <w:ind w:right="-1"/>
        <w:rPr>
          <w:rFonts w:ascii="Verdana" w:hAnsi="Verdana" w:cs="Arial"/>
          <w:sz w:val="20"/>
          <w:highlight w:val="yellow"/>
        </w:rPr>
      </w:pPr>
      <w:r w:rsidRPr="00D24232">
        <w:rPr>
          <w:rFonts w:ascii="Verdana" w:hAnsi="Verdana" w:cs="Arial"/>
          <w:sz w:val="20"/>
          <w:highlight w:val="yellow"/>
        </w:rPr>
        <w:t xml:space="preserve">The directors who held office at the date of approval of this directors’ report confirm that, so far as they are each aware, there is no relevant audit information of </w:t>
      </w:r>
      <w:r w:rsidRPr="00D24232" w:rsidR="00A22F3F">
        <w:rPr>
          <w:rFonts w:ascii="Verdana" w:hAnsi="Verdana" w:cs="Arial"/>
          <w:sz w:val="20"/>
          <w:highlight w:val="yellow"/>
        </w:rPr>
        <w:t>which the Company’s auditor is</w:t>
      </w:r>
      <w:r w:rsidRPr="00D24232">
        <w:rPr>
          <w:rFonts w:ascii="Verdana" w:hAnsi="Verdana" w:cs="Arial"/>
          <w:sz w:val="20"/>
          <w:highlight w:val="yellow"/>
        </w:rPr>
        <w:t xml:space="preserve"> unaware; and each director has taken all the steps that they ought to have taken as a director to make themselves aware of any relevant audit information and to establish</w:t>
      </w:r>
      <w:r w:rsidRPr="00D24232" w:rsidR="00A22F3F">
        <w:rPr>
          <w:rFonts w:ascii="Verdana" w:hAnsi="Verdana" w:cs="Arial"/>
          <w:sz w:val="20"/>
          <w:highlight w:val="yellow"/>
        </w:rPr>
        <w:t xml:space="preserve"> that the Company’s auditor is</w:t>
      </w:r>
      <w:r w:rsidRPr="00D24232">
        <w:rPr>
          <w:rFonts w:ascii="Verdana" w:hAnsi="Verdana" w:cs="Arial"/>
          <w:sz w:val="20"/>
          <w:highlight w:val="yellow"/>
        </w:rPr>
        <w:t xml:space="preserve"> aware of that information. </w:t>
      </w:r>
    </w:p>
    <w:p w:rsidRPr="00D24232" w:rsidR="006E55F0" w:rsidP="006E55F0" w:rsidRDefault="006E55F0">
      <w:pPr>
        <w:pStyle w:val="ACSectionTOCHeading"/>
        <w:rPr>
          <w:rFonts w:ascii="Verdana" w:hAnsi="Verdana" w:cs="Arial"/>
          <w:sz w:val="20"/>
          <w:highlight w:val="yellow"/>
        </w:rPr>
      </w:pPr>
    </w:p>
    <w:p w:rsidRPr="00D24232" w:rsidR="00E6477B" w:rsidP="00E6477B" w:rsidRDefault="00E6477B">
      <w:pPr>
        <w:pStyle w:val="ACText"/>
        <w:rPr>
          <w:highlight w:val="yellow"/>
        </w:rPr>
      </w:pPr>
    </w:p>
    <w:p w:rsidRPr="00D24232" w:rsidR="006E55F0" w:rsidP="006E55F0" w:rsidRDefault="006E55F0">
      <w:pPr>
        <w:pStyle w:val="ACSectionTOCHeading"/>
        <w:rPr>
          <w:rFonts w:ascii="Verdana" w:hAnsi="Verdana" w:cs="Arial"/>
          <w:highlight w:val="yellow"/>
        </w:rPr>
      </w:pPr>
      <w:r w:rsidRPr="00D24232">
        <w:rPr>
          <w:rFonts w:ascii="Verdana" w:hAnsi="Verdana" w:cs="Arial"/>
          <w:sz w:val="20"/>
          <w:highlight w:val="yellow"/>
        </w:rPr>
        <w:t>Auditor</w:t>
      </w:r>
    </w:p>
    <w:p w:rsidRPr="00D24232" w:rsidR="006E55F0" w:rsidP="006E55F0" w:rsidRDefault="006E55F0">
      <w:pPr>
        <w:pStyle w:val="ACNotesText"/>
        <w:rPr>
          <w:rFonts w:ascii="Verdana" w:hAnsi="Verdana" w:cs="Arial"/>
          <w:highlight w:val="yellow"/>
        </w:rPr>
      </w:pPr>
      <w:r w:rsidRPr="00D24232">
        <w:rPr>
          <w:rFonts w:ascii="Verdana" w:hAnsi="Verdana" w:cs="Arial"/>
          <w:highlight w:val="yellow"/>
        </w:rPr>
        <w:t xml:space="preserve">In accordance with section 489 of the Companies Act 2006 a resolution for the re-appointment of KPMG LLP as auditors to the Company is to </w:t>
      </w:r>
      <w:r w:rsidRPr="00D24232" w:rsidR="00E4332F">
        <w:rPr>
          <w:rFonts w:ascii="Verdana" w:hAnsi="Verdana" w:cs="Arial"/>
          <w:highlight w:val="yellow"/>
        </w:rPr>
        <w:t>be proposed at the forthcoming A</w:t>
      </w:r>
      <w:r w:rsidRPr="00D24232">
        <w:rPr>
          <w:rFonts w:ascii="Verdana" w:hAnsi="Verdana" w:cs="Arial"/>
          <w:highlight w:val="yellow"/>
        </w:rPr>
        <w:t xml:space="preserve">nnual </w:t>
      </w:r>
      <w:r w:rsidRPr="00D24232" w:rsidR="00E4332F">
        <w:rPr>
          <w:rFonts w:ascii="Verdana" w:hAnsi="Verdana" w:cs="Arial"/>
          <w:highlight w:val="yellow"/>
        </w:rPr>
        <w:t>G</w:t>
      </w:r>
      <w:r w:rsidRPr="00D24232">
        <w:rPr>
          <w:rFonts w:ascii="Verdana" w:hAnsi="Verdana" w:cs="Arial"/>
          <w:highlight w:val="yellow"/>
        </w:rPr>
        <w:t xml:space="preserve">eneral </w:t>
      </w:r>
      <w:r w:rsidRPr="00D24232" w:rsidR="00E4332F">
        <w:rPr>
          <w:rFonts w:ascii="Verdana" w:hAnsi="Verdana" w:cs="Arial"/>
          <w:highlight w:val="yellow"/>
        </w:rPr>
        <w:t>M</w:t>
      </w:r>
      <w:r w:rsidRPr="00D24232">
        <w:rPr>
          <w:rFonts w:ascii="Verdana" w:hAnsi="Verdana" w:cs="Arial"/>
          <w:highlight w:val="yellow"/>
        </w:rPr>
        <w:t>eeting.</w:t>
      </w:r>
    </w:p>
    <w:p w:rsidRPr="00D24232" w:rsidR="006E55F0" w:rsidP="006E55F0" w:rsidRDefault="006E55F0">
      <w:pPr>
        <w:pStyle w:val="ACNotesText"/>
        <w:rPr>
          <w:rFonts w:ascii="Verdana" w:hAnsi="Verdana" w:cs="Arial"/>
          <w:highlight w:val="yellow"/>
        </w:rPr>
      </w:pPr>
      <w:r w:rsidRPr="00D24232">
        <w:rPr>
          <w:rFonts w:ascii="Verdana" w:hAnsi="Verdana" w:cs="Arial"/>
          <w:highlight w:val="yellow"/>
        </w:rPr>
        <w:t xml:space="preserve">The Directors’ Report was approved by the Board on </w:t>
      </w:r>
      <w:r w:rsidRPr="00D24232" w:rsidR="00A05AB7">
        <w:rPr>
          <w:rFonts w:ascii="Verdana" w:hAnsi="Verdana" w:cs="Arial"/>
          <w:highlight w:val="yellow"/>
        </w:rPr>
        <w:t>XXXXXXX</w:t>
      </w:r>
      <w:r w:rsidRPr="00D24232" w:rsidR="00BC62C0">
        <w:rPr>
          <w:rFonts w:ascii="Verdana" w:hAnsi="Verdana" w:cs="Arial"/>
          <w:highlight w:val="yellow"/>
        </w:rPr>
        <w:t xml:space="preserve"> </w:t>
      </w:r>
      <w:r w:rsidRPr="00D24232" w:rsidR="00664541">
        <w:rPr>
          <w:rFonts w:ascii="Verdana" w:hAnsi="Verdana" w:cs="Arial"/>
          <w:highlight w:val="yellow"/>
        </w:rPr>
        <w:t>201</w:t>
      </w:r>
      <w:r w:rsidRPr="00D24232" w:rsidR="00E74958">
        <w:rPr>
          <w:rFonts w:ascii="Verdana" w:hAnsi="Verdana" w:cs="Arial"/>
          <w:highlight w:val="yellow"/>
        </w:rPr>
        <w:t>8</w:t>
      </w:r>
      <w:r w:rsidRPr="00D24232">
        <w:rPr>
          <w:rFonts w:ascii="Verdana" w:hAnsi="Verdana" w:cs="Arial"/>
          <w:highlight w:val="yellow"/>
        </w:rPr>
        <w:t xml:space="preserve"> and signed on its behalf by:</w:t>
      </w:r>
    </w:p>
    <w:p w:rsidRPr="00D24232" w:rsidR="006E55F0" w:rsidP="006E55F0" w:rsidRDefault="006E55F0">
      <w:pPr>
        <w:pStyle w:val="ACNotesText"/>
        <w:rPr>
          <w:rFonts w:ascii="Verdana" w:hAnsi="Verdana" w:cs="Arial"/>
          <w:highlight w:val="yellow"/>
        </w:rPr>
      </w:pPr>
    </w:p>
    <w:p w:rsidRPr="00D24232" w:rsidR="00B458D0" w:rsidP="00B458D0" w:rsidRDefault="00B458D0">
      <w:pPr>
        <w:pStyle w:val="ACNotesText"/>
        <w:rPr>
          <w:rFonts w:ascii="Verdana" w:hAnsi="Verdana" w:cs="Arial"/>
          <w:b/>
          <w:highlight w:val="yellow"/>
        </w:rPr>
      </w:pPr>
      <w:r w:rsidRPr="00D24232">
        <w:rPr>
          <w:rFonts w:ascii="Verdana" w:hAnsi="Verdana" w:cs="Arial"/>
          <w:b/>
          <w:highlight w:val="yellow"/>
        </w:rPr>
        <w:t>Going Concern</w:t>
      </w:r>
    </w:p>
    <w:p w:rsidRPr="00D24232" w:rsidR="006E55F0" w:rsidP="00B458D0" w:rsidRDefault="00B458D0">
      <w:pPr>
        <w:pStyle w:val="ACNotesText"/>
        <w:rPr>
          <w:rFonts w:ascii="Verdana" w:hAnsi="Verdana" w:cs="Arial"/>
          <w:highlight w:val="yellow"/>
        </w:rPr>
      </w:pPr>
      <w:r w:rsidRPr="00D24232">
        <w:rPr>
          <w:rFonts w:ascii="Verdana" w:hAnsi="Verdana" w:cs="Arial"/>
          <w:highlight w:val="yellow"/>
        </w:rPr>
        <w:t>The company has disclosed its business activities, principal risks and uncertainties in the strategic report on pages 7 &amp; 8. The business has significant reserves and retains a contractual relationship with its main client until 2020. The directors have a reasonable expectation that the company is well placed to successfully continue its business while managing risk and uncertainty.</w:t>
      </w:r>
    </w:p>
    <w:p w:rsidRPr="00D24232" w:rsidR="006E55F0" w:rsidP="006E55F0" w:rsidRDefault="006E55F0">
      <w:pPr>
        <w:pStyle w:val="ACNotesText"/>
        <w:rPr>
          <w:rFonts w:ascii="Verdana" w:hAnsi="Verdana" w:cs="Arial"/>
          <w:highlight w:val="yellow"/>
        </w:rPr>
      </w:pPr>
    </w:p>
    <w:p w:rsidRPr="00D24232" w:rsidR="00577B7D" w:rsidP="006E55F0" w:rsidRDefault="00577B7D">
      <w:pPr>
        <w:pStyle w:val="ACNotesText"/>
        <w:rPr>
          <w:rFonts w:ascii="Verdana" w:hAnsi="Verdana" w:cs="Arial"/>
          <w:highlight w:val="yellow"/>
        </w:rPr>
      </w:pPr>
      <w:r w:rsidRPr="00D24232">
        <w:rPr>
          <w:rFonts w:ascii="Verdana" w:hAnsi="Verdana" w:cs="Arial"/>
          <w:highlight w:val="yellow"/>
        </w:rPr>
        <w:t xml:space="preserve">Paul Davey </w:t>
      </w:r>
    </w:p>
    <w:p w:rsidRPr="00D24232" w:rsidR="006E55F0" w:rsidP="006E55F0" w:rsidRDefault="006E55F0">
      <w:pPr>
        <w:pStyle w:val="ACNotesText"/>
        <w:rPr>
          <w:rFonts w:ascii="Verdana" w:hAnsi="Verdana" w:cs="Arial"/>
          <w:highlight w:val="yellow"/>
        </w:rPr>
      </w:pPr>
      <w:r w:rsidRPr="00D24232">
        <w:rPr>
          <w:rFonts w:ascii="Verdana" w:hAnsi="Verdana" w:cs="Arial"/>
          <w:highlight w:val="yellow"/>
        </w:rPr>
        <w:t>Company Secretary</w:t>
      </w:r>
    </w:p>
    <w:p w:rsidRPr="00D24232" w:rsidR="006E55F0" w:rsidP="006E55F0" w:rsidRDefault="006E55F0">
      <w:pPr>
        <w:pStyle w:val="ACNotesText"/>
        <w:spacing w:before="0"/>
        <w:jc w:val="left"/>
        <w:rPr>
          <w:rFonts w:ascii="Verdana" w:hAnsi="Verdana"/>
          <w:highlight w:val="yellow"/>
        </w:rPr>
      </w:pPr>
      <w:r w:rsidRPr="00D24232">
        <w:rPr>
          <w:rFonts w:ascii="Verdana" w:hAnsi="Verdana"/>
          <w:highlight w:val="yellow"/>
        </w:rPr>
        <w:t>Jack Dash House</w:t>
      </w:r>
    </w:p>
    <w:p w:rsidRPr="00D24232" w:rsidR="006E55F0" w:rsidP="006E55F0" w:rsidRDefault="006E55F0">
      <w:pPr>
        <w:pStyle w:val="ACNotesText"/>
        <w:spacing w:before="0"/>
        <w:jc w:val="left"/>
        <w:rPr>
          <w:rFonts w:ascii="Verdana" w:hAnsi="Verdana"/>
          <w:highlight w:val="yellow"/>
        </w:rPr>
      </w:pPr>
      <w:r w:rsidRPr="00D24232">
        <w:rPr>
          <w:rFonts w:ascii="Verdana" w:hAnsi="Verdana"/>
          <w:highlight w:val="yellow"/>
        </w:rPr>
        <w:t>2 Lawn House Close</w:t>
      </w:r>
    </w:p>
    <w:p w:rsidRPr="00D24232" w:rsidR="006E55F0" w:rsidP="006E55F0" w:rsidRDefault="006E55F0">
      <w:pPr>
        <w:pStyle w:val="ACNotesText"/>
        <w:spacing w:before="0"/>
        <w:jc w:val="left"/>
        <w:rPr>
          <w:rFonts w:ascii="Verdana" w:hAnsi="Verdana"/>
          <w:highlight w:val="yellow"/>
        </w:rPr>
      </w:pPr>
      <w:r w:rsidRPr="00D24232">
        <w:rPr>
          <w:rFonts w:ascii="Verdana" w:hAnsi="Verdana"/>
          <w:highlight w:val="yellow"/>
        </w:rPr>
        <w:t>London E14 9YQ</w:t>
      </w:r>
    </w:p>
    <w:p w:rsidRPr="00D24232" w:rsidR="006E55F0" w:rsidP="006E55F0" w:rsidRDefault="006E55F0">
      <w:pPr>
        <w:overflowPunct/>
        <w:autoSpaceDE/>
        <w:autoSpaceDN/>
        <w:adjustRightInd/>
        <w:jc w:val="left"/>
        <w:textAlignment w:val="auto"/>
        <w:rPr>
          <w:rFonts w:ascii="Verdana" w:hAnsi="Verdana"/>
          <w:b/>
          <w:bCs/>
          <w:sz w:val="20"/>
          <w:highlight w:val="yellow"/>
        </w:rPr>
      </w:pPr>
    </w:p>
    <w:p w:rsidR="006A1428" w:rsidP="006E55F0" w:rsidRDefault="006E55F0">
      <w:pPr>
        <w:overflowPunct/>
        <w:autoSpaceDE/>
        <w:autoSpaceDN/>
        <w:adjustRightInd/>
        <w:jc w:val="left"/>
        <w:textAlignment w:val="auto"/>
        <w:rPr>
          <w:rFonts w:ascii="Verdana" w:hAnsi="Verdana"/>
          <w:b/>
          <w:bCs/>
          <w:sz w:val="26"/>
          <w:szCs w:val="26"/>
        </w:rPr>
      </w:pPr>
      <w:r w:rsidRPr="00D24232">
        <w:rPr>
          <w:rFonts w:ascii="Verdana" w:hAnsi="Verdana"/>
          <w:b/>
          <w:bCs/>
          <w:sz w:val="26"/>
          <w:szCs w:val="26"/>
          <w:highlight w:val="yellow"/>
        </w:rPr>
        <w:br w:type="page"/>
      </w:r>
    </w:p>
    <w:p w:rsidRPr="00D24232" w:rsidR="006E55F0" w:rsidP="006E55F0" w:rsidRDefault="006E55F0">
      <w:pPr>
        <w:overflowPunct/>
        <w:autoSpaceDE/>
        <w:autoSpaceDN/>
        <w:adjustRightInd/>
        <w:jc w:val="left"/>
        <w:textAlignment w:val="auto"/>
        <w:rPr>
          <w:rFonts w:ascii="Verdana" w:hAnsi="Verdana"/>
          <w:b/>
          <w:bCs/>
          <w:sz w:val="26"/>
          <w:szCs w:val="26"/>
          <w:highlight w:val="yellow"/>
        </w:rPr>
      </w:pPr>
      <w:r w:rsidRPr="00D24232">
        <w:rPr>
          <w:rFonts w:ascii="Verdana" w:hAnsi="Verdana"/>
          <w:b/>
          <w:bCs/>
          <w:sz w:val="26"/>
          <w:szCs w:val="26"/>
          <w:highlight w:val="yellow"/>
        </w:rPr>
        <w:lastRenderedPageBreak/>
        <w:t>Strategic Report</w:t>
      </w:r>
    </w:p>
    <w:p w:rsidRPr="00D24232" w:rsidR="006E55F0" w:rsidP="006E55F0" w:rsidRDefault="006E55F0">
      <w:pPr>
        <w:overflowPunct/>
        <w:autoSpaceDE/>
        <w:autoSpaceDN/>
        <w:adjustRightInd/>
        <w:jc w:val="left"/>
        <w:textAlignment w:val="auto"/>
        <w:rPr>
          <w:rFonts w:ascii="Verdana" w:hAnsi="Verdana"/>
          <w:sz w:val="20"/>
          <w:highlight w:val="yellow"/>
        </w:rPr>
      </w:pPr>
    </w:p>
    <w:p w:rsidRPr="00D24232" w:rsidR="006A1428" w:rsidP="006E55F0" w:rsidRDefault="006A1428">
      <w:pPr>
        <w:overflowPunct/>
        <w:autoSpaceDE/>
        <w:autoSpaceDN/>
        <w:adjustRightInd/>
        <w:jc w:val="left"/>
        <w:textAlignment w:val="auto"/>
        <w:rPr>
          <w:rFonts w:ascii="Verdana" w:hAnsi="Verdana"/>
          <w:sz w:val="20"/>
          <w:highlight w:val="yellow"/>
        </w:rPr>
      </w:pPr>
    </w:p>
    <w:p w:rsidRPr="00D24232" w:rsidR="006A1428" w:rsidP="006A1428" w:rsidRDefault="006A1428">
      <w:pPr>
        <w:overflowPunct/>
        <w:autoSpaceDE/>
        <w:autoSpaceDN/>
        <w:adjustRightInd/>
        <w:textAlignment w:val="auto"/>
        <w:rPr>
          <w:rFonts w:ascii="Verdana" w:hAnsi="Verdana"/>
          <w:sz w:val="20"/>
          <w:highlight w:val="yellow"/>
        </w:rPr>
      </w:pPr>
      <w:r w:rsidRPr="00D24232">
        <w:rPr>
          <w:rFonts w:ascii="Verdana" w:hAnsi="Verdana"/>
          <w:sz w:val="20"/>
          <w:highlight w:val="yellow"/>
        </w:rPr>
        <w:t>The Directors present their strategic report for the year ended 31 March 201</w:t>
      </w:r>
      <w:r w:rsidRPr="00D24232" w:rsidR="00225367">
        <w:rPr>
          <w:rFonts w:ascii="Verdana" w:hAnsi="Verdana"/>
          <w:sz w:val="20"/>
          <w:highlight w:val="yellow"/>
        </w:rPr>
        <w:t>8</w:t>
      </w:r>
      <w:r w:rsidRPr="00D24232">
        <w:rPr>
          <w:rFonts w:ascii="Verdana" w:hAnsi="Verdana"/>
          <w:sz w:val="20"/>
          <w:highlight w:val="yellow"/>
        </w:rPr>
        <w:t>.</w:t>
      </w:r>
    </w:p>
    <w:p w:rsidRPr="00D24232" w:rsidR="006A1428" w:rsidP="006A1428" w:rsidRDefault="006A1428">
      <w:pPr>
        <w:overflowPunct/>
        <w:autoSpaceDE/>
        <w:autoSpaceDN/>
        <w:adjustRightInd/>
        <w:textAlignment w:val="auto"/>
        <w:rPr>
          <w:rFonts w:ascii="Verdana" w:hAnsi="Verdana"/>
          <w:sz w:val="20"/>
          <w:highlight w:val="yellow"/>
        </w:rPr>
      </w:pPr>
    </w:p>
    <w:p w:rsidRPr="00D24232" w:rsidR="006A1428" w:rsidP="006A1428" w:rsidRDefault="006A1428">
      <w:pPr>
        <w:overflowPunct/>
        <w:autoSpaceDE/>
        <w:autoSpaceDN/>
        <w:adjustRightInd/>
        <w:textAlignment w:val="auto"/>
        <w:rPr>
          <w:rFonts w:ascii="Verdana" w:hAnsi="Verdana"/>
          <w:sz w:val="20"/>
          <w:highlight w:val="yellow"/>
        </w:rPr>
      </w:pPr>
    </w:p>
    <w:p w:rsidRPr="00D24232" w:rsidR="006A1428" w:rsidP="006A1428" w:rsidRDefault="006A1428">
      <w:pPr>
        <w:overflowPunct/>
        <w:autoSpaceDE/>
        <w:autoSpaceDN/>
        <w:adjustRightInd/>
        <w:textAlignment w:val="auto"/>
        <w:rPr>
          <w:rFonts w:ascii="Verdana" w:hAnsi="Verdana"/>
          <w:b/>
          <w:sz w:val="20"/>
          <w:highlight w:val="yellow"/>
        </w:rPr>
      </w:pPr>
      <w:r w:rsidRPr="00D24232">
        <w:rPr>
          <w:rFonts w:ascii="Verdana" w:hAnsi="Verdana"/>
          <w:b/>
          <w:sz w:val="20"/>
          <w:highlight w:val="yellow"/>
        </w:rPr>
        <w:t>Business Review</w:t>
      </w:r>
    </w:p>
    <w:p w:rsidRPr="00D24232" w:rsidR="006A1428" w:rsidP="006A1428" w:rsidRDefault="006A1428">
      <w:pPr>
        <w:overflowPunct/>
        <w:autoSpaceDE/>
        <w:autoSpaceDN/>
        <w:adjustRightInd/>
        <w:textAlignment w:val="auto"/>
        <w:rPr>
          <w:rFonts w:ascii="Verdana" w:hAnsi="Verdana"/>
          <w:sz w:val="20"/>
          <w:highlight w:val="yellow"/>
        </w:rPr>
      </w:pPr>
    </w:p>
    <w:p w:rsidRPr="00D24232" w:rsidR="00E6477B" w:rsidP="00E6477B" w:rsidRDefault="00E6477B">
      <w:pPr>
        <w:overflowPunct/>
        <w:autoSpaceDE/>
        <w:autoSpaceDN/>
        <w:adjustRightInd/>
        <w:textAlignment w:val="auto"/>
        <w:rPr>
          <w:rFonts w:ascii="Verdana" w:hAnsi="Verdana"/>
          <w:sz w:val="20"/>
          <w:highlight w:val="yellow"/>
        </w:rPr>
      </w:pPr>
      <w:r w:rsidRPr="00D24232">
        <w:rPr>
          <w:rFonts w:ascii="Verdana" w:hAnsi="Verdana"/>
          <w:sz w:val="20"/>
          <w:highlight w:val="yellow"/>
        </w:rPr>
        <w:t xml:space="preserve">Tower Hamlets Homes Ltd (THH) is an Arm’s Length Management Organisation (ALMO) set up by the London Borough of Tower Hamlets (LBTH) to provide housing management services, including the income collection, tenancy management, estate services, day-to-day repairs, major works, planned maintenance, leaseholder services, resident participation, customer services, service development and training to residents of the borough’s housing. </w:t>
      </w:r>
    </w:p>
    <w:p w:rsidRPr="00D24232" w:rsidR="00E6477B" w:rsidP="00E6477B" w:rsidRDefault="00E6477B">
      <w:pPr>
        <w:overflowPunct/>
        <w:autoSpaceDE/>
        <w:autoSpaceDN/>
        <w:adjustRightInd/>
        <w:textAlignment w:val="auto"/>
        <w:rPr>
          <w:rFonts w:ascii="Verdana" w:hAnsi="Verdana"/>
          <w:sz w:val="20"/>
          <w:highlight w:val="yellow"/>
        </w:rPr>
      </w:pPr>
    </w:p>
    <w:p w:rsidRPr="00D24232" w:rsidR="00E6477B" w:rsidP="00E6477B" w:rsidRDefault="00084A5A">
      <w:pPr>
        <w:overflowPunct/>
        <w:autoSpaceDE/>
        <w:autoSpaceDN/>
        <w:adjustRightInd/>
        <w:textAlignment w:val="auto"/>
        <w:rPr>
          <w:rFonts w:ascii="Verdana" w:hAnsi="Verdana"/>
          <w:sz w:val="20"/>
          <w:highlight w:val="yellow"/>
        </w:rPr>
      </w:pPr>
      <w:r w:rsidRPr="00D24232">
        <w:rPr>
          <w:rFonts w:ascii="Verdana" w:hAnsi="Verdana"/>
          <w:sz w:val="20"/>
          <w:highlight w:val="yellow"/>
        </w:rPr>
        <w:t>The ALMO started o</w:t>
      </w:r>
      <w:r w:rsidRPr="00D24232" w:rsidR="00E6477B">
        <w:rPr>
          <w:rFonts w:ascii="Verdana" w:hAnsi="Verdana"/>
          <w:sz w:val="20"/>
          <w:highlight w:val="yellow"/>
        </w:rPr>
        <w:t xml:space="preserve">n 7th July 2008 under a ten-year term contract with a five-year break clause. Since inception we have achieved the two star performance threshold required to access Government funding and secured £108m grant for investment in stock. We have a solid track record of improved performance, income collection, and resident satisfaction while reducing the annual management fee. In recognising these achievements, on the 6th December 2016 LBTH’s Cabinet approved a two-year contract extension to the 7th July 2020. </w:t>
      </w:r>
    </w:p>
    <w:p w:rsidRPr="00D24232" w:rsidR="00E6477B" w:rsidP="00E6477B" w:rsidRDefault="00E6477B">
      <w:pPr>
        <w:overflowPunct/>
        <w:autoSpaceDE/>
        <w:autoSpaceDN/>
        <w:adjustRightInd/>
        <w:textAlignment w:val="auto"/>
        <w:rPr>
          <w:rFonts w:ascii="Verdana" w:hAnsi="Verdana"/>
          <w:sz w:val="20"/>
          <w:highlight w:val="yellow"/>
        </w:rPr>
      </w:pPr>
    </w:p>
    <w:p w:rsidRPr="00D24232" w:rsidR="00E6477B" w:rsidP="00E6477B" w:rsidRDefault="00E6477B">
      <w:pPr>
        <w:overflowPunct/>
        <w:autoSpaceDE/>
        <w:autoSpaceDN/>
        <w:adjustRightInd/>
        <w:textAlignment w:val="auto"/>
        <w:rPr>
          <w:rFonts w:ascii="Verdana" w:hAnsi="Verdana"/>
          <w:sz w:val="20"/>
          <w:highlight w:val="yellow"/>
        </w:rPr>
      </w:pPr>
      <w:r w:rsidRPr="00D24232">
        <w:rPr>
          <w:rFonts w:ascii="Verdana" w:hAnsi="Verdana"/>
          <w:sz w:val="20"/>
          <w:highlight w:val="yellow"/>
        </w:rPr>
        <w:t>Economic pressures and national austerity policies continue to drive resources lower. This is evident in Government policy to reduce rental income to the HRA which in-turn reduces the resources available to THH through the management fee. The implementation of a five-year saving strategy starting in 2017/18 has helped emphasised the need for THH to focus on efficiency and value-for-money, as a result THH has initiated a Company-wide transformational change programme including a review of resources and service delivery models in 2016/17. This will ensure resources are better focussed on the needs of our residents and meeting the Council’s aspirations for the service.</w:t>
      </w:r>
    </w:p>
    <w:p w:rsidRPr="00D24232" w:rsidR="00E6477B" w:rsidP="006A1428" w:rsidRDefault="00E6477B">
      <w:pPr>
        <w:overflowPunct/>
        <w:autoSpaceDE/>
        <w:autoSpaceDN/>
        <w:adjustRightInd/>
        <w:textAlignment w:val="auto"/>
        <w:rPr>
          <w:rFonts w:ascii="Verdana" w:hAnsi="Verdana"/>
          <w:sz w:val="20"/>
          <w:highlight w:val="yellow"/>
        </w:rPr>
      </w:pPr>
    </w:p>
    <w:p w:rsidRPr="00D24232" w:rsidR="006A1428" w:rsidP="006A1428" w:rsidRDefault="006A1428">
      <w:pPr>
        <w:overflowPunct/>
        <w:autoSpaceDE/>
        <w:autoSpaceDN/>
        <w:adjustRightInd/>
        <w:textAlignment w:val="auto"/>
        <w:rPr>
          <w:rFonts w:ascii="Verdana" w:hAnsi="Verdana"/>
          <w:b/>
          <w:sz w:val="20"/>
          <w:highlight w:val="yellow"/>
        </w:rPr>
      </w:pPr>
      <w:r w:rsidRPr="00D24232">
        <w:rPr>
          <w:rFonts w:ascii="Verdana" w:hAnsi="Verdana"/>
          <w:b/>
          <w:sz w:val="20"/>
          <w:highlight w:val="yellow"/>
        </w:rPr>
        <w:t>Results &amp; Performance</w:t>
      </w:r>
    </w:p>
    <w:p w:rsidRPr="00D24232" w:rsidR="006A1428" w:rsidP="006A1428" w:rsidRDefault="006A1428">
      <w:pPr>
        <w:overflowPunct/>
        <w:autoSpaceDE/>
        <w:autoSpaceDN/>
        <w:adjustRightInd/>
        <w:textAlignment w:val="auto"/>
        <w:rPr>
          <w:rFonts w:ascii="Verdana" w:hAnsi="Verdana"/>
          <w:sz w:val="20"/>
          <w:highlight w:val="yellow"/>
        </w:rPr>
      </w:pPr>
    </w:p>
    <w:p w:rsidRPr="00D24232" w:rsidR="006A1428" w:rsidP="006A1428" w:rsidRDefault="006A1428">
      <w:pPr>
        <w:overflowPunct/>
        <w:autoSpaceDE/>
        <w:autoSpaceDN/>
        <w:adjustRightInd/>
        <w:textAlignment w:val="auto"/>
        <w:rPr>
          <w:rFonts w:ascii="Verdana" w:hAnsi="Verdana"/>
          <w:sz w:val="20"/>
          <w:highlight w:val="yellow"/>
        </w:rPr>
      </w:pPr>
      <w:r w:rsidRPr="00D24232">
        <w:rPr>
          <w:rFonts w:ascii="Verdana" w:hAnsi="Verdana"/>
          <w:sz w:val="20"/>
          <w:highlight w:val="yellow"/>
        </w:rPr>
        <w:t>The Company’s principal activity during the year is the provision of housing management services to residents of LBTH. The Company also manages delivery of the planned and responsive repairs and maintenance programme and manages delivery of the housing investment programme for LBTH.</w:t>
      </w:r>
    </w:p>
    <w:p w:rsidRPr="00D24232" w:rsidR="006A1428" w:rsidP="006A1428" w:rsidRDefault="006A1428">
      <w:pPr>
        <w:overflowPunct/>
        <w:autoSpaceDE/>
        <w:autoSpaceDN/>
        <w:adjustRightInd/>
        <w:textAlignment w:val="auto"/>
        <w:rPr>
          <w:rFonts w:ascii="Verdana" w:hAnsi="Verdana"/>
          <w:sz w:val="20"/>
          <w:highlight w:val="yellow"/>
        </w:rPr>
      </w:pPr>
    </w:p>
    <w:p w:rsidRPr="00D24232" w:rsidR="006A1428" w:rsidP="006A1428" w:rsidRDefault="006A1428">
      <w:pPr>
        <w:overflowPunct/>
        <w:autoSpaceDE/>
        <w:autoSpaceDN/>
        <w:adjustRightInd/>
        <w:textAlignment w:val="auto"/>
        <w:rPr>
          <w:rFonts w:ascii="Verdana" w:hAnsi="Verdana"/>
          <w:sz w:val="20"/>
          <w:highlight w:val="yellow"/>
        </w:rPr>
      </w:pPr>
    </w:p>
    <w:p w:rsidRPr="00D24232" w:rsidR="006A1428" w:rsidP="006A1428" w:rsidRDefault="006A1428">
      <w:pPr>
        <w:overflowPunct/>
        <w:autoSpaceDE/>
        <w:autoSpaceDN/>
        <w:adjustRightInd/>
        <w:textAlignment w:val="auto"/>
        <w:rPr>
          <w:rFonts w:ascii="Verdana" w:hAnsi="Verdana"/>
          <w:b/>
          <w:sz w:val="20"/>
          <w:highlight w:val="yellow"/>
        </w:rPr>
      </w:pPr>
      <w:r w:rsidRPr="00D24232">
        <w:rPr>
          <w:rFonts w:ascii="Verdana" w:hAnsi="Verdana"/>
          <w:b/>
          <w:sz w:val="20"/>
          <w:highlight w:val="yellow"/>
        </w:rPr>
        <w:t>Financial</w:t>
      </w:r>
    </w:p>
    <w:p w:rsidRPr="00D24232" w:rsidR="006A1428" w:rsidP="006A1428" w:rsidRDefault="006A1428">
      <w:pPr>
        <w:overflowPunct/>
        <w:autoSpaceDE/>
        <w:autoSpaceDN/>
        <w:adjustRightInd/>
        <w:textAlignment w:val="auto"/>
        <w:rPr>
          <w:rFonts w:ascii="Verdana" w:hAnsi="Verdana"/>
          <w:b/>
          <w:sz w:val="20"/>
          <w:highlight w:val="yellow"/>
        </w:rPr>
      </w:pPr>
    </w:p>
    <w:p w:rsidRPr="00D24232" w:rsidR="006A1428" w:rsidP="006A1428" w:rsidRDefault="006A1428">
      <w:pPr>
        <w:overflowPunct/>
        <w:autoSpaceDE/>
        <w:autoSpaceDN/>
        <w:adjustRightInd/>
        <w:textAlignment w:val="auto"/>
        <w:rPr>
          <w:rFonts w:ascii="Verdana" w:hAnsi="Verdana"/>
          <w:sz w:val="20"/>
          <w:highlight w:val="yellow"/>
        </w:rPr>
      </w:pPr>
      <w:r w:rsidRPr="00D24232">
        <w:rPr>
          <w:rFonts w:ascii="Verdana" w:hAnsi="Verdana"/>
          <w:sz w:val="20"/>
          <w:highlight w:val="yellow"/>
        </w:rPr>
        <w:t>The Company received a management fee of £</w:t>
      </w:r>
      <w:r w:rsidRPr="00D24232" w:rsidR="00381962">
        <w:rPr>
          <w:rFonts w:ascii="Verdana" w:hAnsi="Verdana"/>
          <w:sz w:val="20"/>
          <w:highlight w:val="yellow"/>
        </w:rPr>
        <w:t>32.786m</w:t>
      </w:r>
      <w:r w:rsidRPr="00D24232">
        <w:rPr>
          <w:rFonts w:ascii="Verdana" w:hAnsi="Verdana"/>
          <w:sz w:val="20"/>
          <w:highlight w:val="yellow"/>
        </w:rPr>
        <w:t xml:space="preserve"> (201</w:t>
      </w:r>
      <w:r w:rsidRPr="00D24232" w:rsidR="00283439">
        <w:rPr>
          <w:rFonts w:ascii="Verdana" w:hAnsi="Verdana"/>
          <w:sz w:val="20"/>
          <w:highlight w:val="yellow"/>
        </w:rPr>
        <w:t>6</w:t>
      </w:r>
      <w:r w:rsidRPr="00D24232" w:rsidR="00B513FF">
        <w:rPr>
          <w:rFonts w:ascii="Verdana" w:hAnsi="Verdana"/>
          <w:sz w:val="20"/>
          <w:highlight w:val="yellow"/>
        </w:rPr>
        <w:t>/1</w:t>
      </w:r>
      <w:r w:rsidRPr="00D24232" w:rsidR="00283439">
        <w:rPr>
          <w:rFonts w:ascii="Verdana" w:hAnsi="Verdana"/>
          <w:sz w:val="20"/>
          <w:highlight w:val="yellow"/>
        </w:rPr>
        <w:t>7</w:t>
      </w:r>
      <w:r w:rsidRPr="00D24232">
        <w:rPr>
          <w:rFonts w:ascii="Verdana" w:hAnsi="Verdana"/>
          <w:sz w:val="20"/>
          <w:highlight w:val="yellow"/>
        </w:rPr>
        <w:t>: £3</w:t>
      </w:r>
      <w:r w:rsidRPr="00D24232" w:rsidR="00283439">
        <w:rPr>
          <w:rFonts w:ascii="Verdana" w:hAnsi="Verdana"/>
          <w:sz w:val="20"/>
          <w:highlight w:val="yellow"/>
        </w:rPr>
        <w:t>3.37</w:t>
      </w:r>
      <w:r w:rsidRPr="00D24232">
        <w:rPr>
          <w:rFonts w:ascii="Verdana" w:hAnsi="Verdana"/>
          <w:sz w:val="20"/>
          <w:highlight w:val="yellow"/>
        </w:rPr>
        <w:t>6m) to manage and maintain LBTH’s HRA stock. Although managed by the Company, the cost of repairs and maintenance and investment programmes are shown in LBTH’s financial accounts.</w:t>
      </w:r>
    </w:p>
    <w:p w:rsidRPr="00D24232" w:rsidR="00A0703C" w:rsidP="006A1428" w:rsidRDefault="00A0703C">
      <w:pPr>
        <w:overflowPunct/>
        <w:autoSpaceDE/>
        <w:autoSpaceDN/>
        <w:adjustRightInd/>
        <w:textAlignment w:val="auto"/>
        <w:rPr>
          <w:rFonts w:ascii="Verdana" w:hAnsi="Verdana"/>
          <w:sz w:val="20"/>
          <w:highlight w:val="yellow"/>
        </w:rPr>
      </w:pPr>
    </w:p>
    <w:p w:rsidRPr="00D24232" w:rsidR="006A1428" w:rsidP="006A1428" w:rsidRDefault="006C5279">
      <w:pPr>
        <w:overflowPunct/>
        <w:autoSpaceDE/>
        <w:autoSpaceDN/>
        <w:adjustRightInd/>
        <w:textAlignment w:val="auto"/>
        <w:rPr>
          <w:rFonts w:ascii="Verdana" w:hAnsi="Verdana"/>
          <w:sz w:val="20"/>
          <w:highlight w:val="yellow"/>
        </w:rPr>
      </w:pPr>
      <w:r>
        <w:rPr>
          <w:rFonts w:ascii="Verdana" w:hAnsi="Verdana"/>
          <w:sz w:val="20"/>
          <w:highlight w:val="yellow"/>
        </w:rPr>
        <w:t>This year the Company made a</w:t>
      </w:r>
      <w:r w:rsidR="00447CBB">
        <w:rPr>
          <w:rFonts w:ascii="Verdana" w:hAnsi="Verdana"/>
          <w:sz w:val="20"/>
          <w:highlight w:val="yellow"/>
        </w:rPr>
        <w:t xml:space="preserve"> generated a profit of </w:t>
      </w:r>
      <w:r w:rsidRPr="00D24232" w:rsidR="006A1428">
        <w:rPr>
          <w:rFonts w:ascii="Verdana" w:hAnsi="Verdana"/>
          <w:sz w:val="20"/>
          <w:highlight w:val="yellow"/>
        </w:rPr>
        <w:t>£</w:t>
      </w:r>
      <w:r w:rsidR="00447CBB">
        <w:rPr>
          <w:rFonts w:ascii="Verdana" w:hAnsi="Verdana"/>
          <w:sz w:val="20"/>
          <w:highlight w:val="yellow"/>
        </w:rPr>
        <w:t>882,910</w:t>
      </w:r>
      <w:r w:rsidRPr="00D24232" w:rsidR="006A1428">
        <w:rPr>
          <w:rFonts w:ascii="Verdana" w:hAnsi="Verdana"/>
          <w:sz w:val="20"/>
          <w:highlight w:val="yellow"/>
        </w:rPr>
        <w:t xml:space="preserve"> (201</w:t>
      </w:r>
      <w:r w:rsidRPr="00D24232" w:rsidR="00381962">
        <w:rPr>
          <w:rFonts w:ascii="Verdana" w:hAnsi="Verdana"/>
          <w:sz w:val="20"/>
          <w:highlight w:val="yellow"/>
        </w:rPr>
        <w:t>6</w:t>
      </w:r>
      <w:r w:rsidRPr="00D24232" w:rsidR="00B513FF">
        <w:rPr>
          <w:rFonts w:ascii="Verdana" w:hAnsi="Verdana"/>
          <w:sz w:val="20"/>
          <w:highlight w:val="yellow"/>
        </w:rPr>
        <w:t>/1</w:t>
      </w:r>
      <w:r w:rsidRPr="00D24232" w:rsidR="00381962">
        <w:rPr>
          <w:rFonts w:ascii="Verdana" w:hAnsi="Verdana"/>
          <w:sz w:val="20"/>
          <w:highlight w:val="yellow"/>
        </w:rPr>
        <w:t>7</w:t>
      </w:r>
      <w:r>
        <w:rPr>
          <w:rFonts w:ascii="Verdana" w:hAnsi="Verdana"/>
          <w:sz w:val="20"/>
          <w:highlight w:val="yellow"/>
        </w:rPr>
        <w:t xml:space="preserve"> profit of </w:t>
      </w:r>
      <w:r w:rsidRPr="00D24232" w:rsidR="006A1428">
        <w:rPr>
          <w:rFonts w:ascii="Verdana" w:hAnsi="Verdana"/>
          <w:sz w:val="20"/>
          <w:highlight w:val="yellow"/>
        </w:rPr>
        <w:t>£</w:t>
      </w:r>
      <w:r w:rsidRPr="00D24232" w:rsidR="00381962">
        <w:rPr>
          <w:rFonts w:ascii="Verdana" w:hAnsi="Verdana"/>
          <w:sz w:val="20"/>
          <w:highlight w:val="yellow"/>
        </w:rPr>
        <w:t>336</w:t>
      </w:r>
      <w:r w:rsidRPr="00D24232" w:rsidR="006A1428">
        <w:rPr>
          <w:rFonts w:ascii="Verdana" w:hAnsi="Verdana"/>
          <w:sz w:val="20"/>
          <w:highlight w:val="yellow"/>
        </w:rPr>
        <w:t>,</w:t>
      </w:r>
      <w:r w:rsidRPr="00D24232" w:rsidR="00381962">
        <w:rPr>
          <w:rFonts w:ascii="Verdana" w:hAnsi="Verdana"/>
          <w:sz w:val="20"/>
          <w:highlight w:val="yellow"/>
        </w:rPr>
        <w:t>313</w:t>
      </w:r>
      <w:r w:rsidRPr="00D24232" w:rsidR="006A1428">
        <w:rPr>
          <w:rFonts w:ascii="Verdana" w:hAnsi="Verdana"/>
          <w:sz w:val="20"/>
          <w:highlight w:val="yellow"/>
        </w:rPr>
        <w:t>)</w:t>
      </w:r>
      <w:r w:rsidR="00447CBB">
        <w:rPr>
          <w:rFonts w:ascii="Verdana" w:hAnsi="Verdana"/>
          <w:sz w:val="20"/>
          <w:highlight w:val="yellow"/>
        </w:rPr>
        <w:t xml:space="preserve"> before exceptional c</w:t>
      </w:r>
      <w:r w:rsidR="00E54A52">
        <w:rPr>
          <w:rFonts w:ascii="Verdana" w:hAnsi="Verdana"/>
          <w:sz w:val="20"/>
          <w:highlight w:val="yellow"/>
        </w:rPr>
        <w:t xml:space="preserve">osts </w:t>
      </w:r>
      <w:r w:rsidR="00447CBB">
        <w:rPr>
          <w:rFonts w:ascii="Verdana" w:hAnsi="Verdana"/>
          <w:sz w:val="20"/>
          <w:highlight w:val="yellow"/>
        </w:rPr>
        <w:t>of £1,622</w:t>
      </w:r>
      <w:r w:rsidR="002B50C9">
        <w:rPr>
          <w:rFonts w:ascii="Verdana" w:hAnsi="Verdana"/>
          <w:sz w:val="20"/>
          <w:highlight w:val="yellow"/>
        </w:rPr>
        <w:t>K</w:t>
      </w:r>
      <w:r w:rsidR="00447CBB">
        <w:rPr>
          <w:rFonts w:ascii="Verdana" w:hAnsi="Verdana"/>
          <w:sz w:val="20"/>
          <w:highlight w:val="yellow"/>
        </w:rPr>
        <w:t xml:space="preserve"> for </w:t>
      </w:r>
      <w:r w:rsidR="00E54A52">
        <w:rPr>
          <w:rFonts w:ascii="Verdana" w:hAnsi="Verdana"/>
          <w:sz w:val="20"/>
          <w:highlight w:val="yellow"/>
        </w:rPr>
        <w:t>the accommodation move, procurement team and digital strategy</w:t>
      </w:r>
      <w:r w:rsidR="00447CBB">
        <w:rPr>
          <w:rFonts w:ascii="Verdana" w:hAnsi="Verdana"/>
          <w:sz w:val="20"/>
          <w:highlight w:val="yellow"/>
        </w:rPr>
        <w:t xml:space="preserve">. The 2017/18 budget was set </w:t>
      </w:r>
      <w:r w:rsidR="00E54A52">
        <w:rPr>
          <w:rFonts w:ascii="Verdana" w:hAnsi="Verdana"/>
          <w:sz w:val="20"/>
          <w:highlight w:val="yellow"/>
        </w:rPr>
        <w:t>fund these exceptional cost by drawing £1</w:t>
      </w:r>
      <w:r w:rsidR="002B50C9">
        <w:rPr>
          <w:rFonts w:ascii="Verdana" w:hAnsi="Verdana"/>
          <w:sz w:val="20"/>
          <w:highlight w:val="yellow"/>
        </w:rPr>
        <w:t>,</w:t>
      </w:r>
      <w:r w:rsidR="00E54A52">
        <w:rPr>
          <w:rFonts w:ascii="Verdana" w:hAnsi="Verdana"/>
          <w:sz w:val="20"/>
          <w:highlight w:val="yellow"/>
        </w:rPr>
        <w:t>622</w:t>
      </w:r>
      <w:r w:rsidR="002B50C9">
        <w:rPr>
          <w:rFonts w:ascii="Verdana" w:hAnsi="Verdana"/>
          <w:sz w:val="20"/>
          <w:highlight w:val="yellow"/>
        </w:rPr>
        <w:t>K</w:t>
      </w:r>
      <w:r w:rsidR="00E54A52">
        <w:rPr>
          <w:rFonts w:ascii="Verdana" w:hAnsi="Verdana"/>
          <w:sz w:val="20"/>
          <w:highlight w:val="yellow"/>
        </w:rPr>
        <w:t xml:space="preserve"> from reserves.</w:t>
      </w:r>
      <w:r w:rsidRPr="00D24232" w:rsidR="006A1428">
        <w:rPr>
          <w:rFonts w:ascii="Verdana" w:hAnsi="Verdana"/>
          <w:sz w:val="20"/>
          <w:highlight w:val="yellow"/>
        </w:rPr>
        <w:t xml:space="preserve"> </w:t>
      </w:r>
    </w:p>
    <w:p w:rsidRPr="00D24232" w:rsidR="006A1428" w:rsidP="006A1428" w:rsidRDefault="006A1428">
      <w:pPr>
        <w:overflowPunct/>
        <w:autoSpaceDE/>
        <w:autoSpaceDN/>
        <w:adjustRightInd/>
        <w:textAlignment w:val="auto"/>
        <w:rPr>
          <w:rFonts w:ascii="Verdana" w:hAnsi="Verdana"/>
          <w:sz w:val="20"/>
          <w:highlight w:val="yellow"/>
        </w:rPr>
      </w:pPr>
    </w:p>
    <w:p w:rsidRPr="00D24232" w:rsidR="006A1428" w:rsidP="006A1428" w:rsidRDefault="006A1428">
      <w:pPr>
        <w:overflowPunct/>
        <w:autoSpaceDE/>
        <w:autoSpaceDN/>
        <w:adjustRightInd/>
        <w:textAlignment w:val="auto"/>
        <w:rPr>
          <w:rFonts w:ascii="Verdana" w:hAnsi="Verdana"/>
          <w:sz w:val="20"/>
          <w:highlight w:val="yellow"/>
        </w:rPr>
      </w:pPr>
    </w:p>
    <w:p w:rsidRPr="00447CBB" w:rsidR="00E6477B" w:rsidP="006A1428" w:rsidRDefault="00E6477B">
      <w:pPr>
        <w:overflowPunct/>
        <w:autoSpaceDE/>
        <w:autoSpaceDN/>
        <w:adjustRightInd/>
        <w:textAlignment w:val="auto"/>
        <w:rPr>
          <w:rFonts w:ascii="Verdana" w:hAnsi="Verdana"/>
          <w:sz w:val="20"/>
          <w:highlight w:val="yellow"/>
          <w:u w:val="single"/>
        </w:rPr>
      </w:pPr>
    </w:p>
    <w:p w:rsidRPr="00D24232" w:rsidR="00E6477B" w:rsidP="006A1428" w:rsidRDefault="00E6477B">
      <w:pPr>
        <w:overflowPunct/>
        <w:autoSpaceDE/>
        <w:autoSpaceDN/>
        <w:adjustRightInd/>
        <w:textAlignment w:val="auto"/>
        <w:rPr>
          <w:rFonts w:ascii="Verdana" w:hAnsi="Verdana"/>
          <w:sz w:val="20"/>
          <w:highlight w:val="yellow"/>
        </w:rPr>
      </w:pPr>
    </w:p>
    <w:p w:rsidR="00E6477B" w:rsidP="006A1428" w:rsidRDefault="00E6477B">
      <w:pPr>
        <w:overflowPunct/>
        <w:autoSpaceDE/>
        <w:autoSpaceDN/>
        <w:adjustRightInd/>
        <w:textAlignment w:val="auto"/>
        <w:rPr>
          <w:rFonts w:ascii="Verdana" w:hAnsi="Verdana"/>
          <w:sz w:val="20"/>
          <w:highlight w:val="yellow"/>
        </w:rPr>
      </w:pPr>
    </w:p>
    <w:p w:rsidRPr="00D24232" w:rsidR="006C5279" w:rsidP="006A1428" w:rsidRDefault="006C5279">
      <w:pPr>
        <w:overflowPunct/>
        <w:autoSpaceDE/>
        <w:autoSpaceDN/>
        <w:adjustRightInd/>
        <w:textAlignment w:val="auto"/>
        <w:rPr>
          <w:rFonts w:ascii="Verdana" w:hAnsi="Verdana"/>
          <w:sz w:val="20"/>
          <w:highlight w:val="yellow"/>
        </w:rPr>
      </w:pPr>
    </w:p>
    <w:p w:rsidRPr="00D24232" w:rsidR="00E6477B" w:rsidP="006A1428" w:rsidRDefault="00E6477B">
      <w:pPr>
        <w:overflowPunct/>
        <w:autoSpaceDE/>
        <w:autoSpaceDN/>
        <w:adjustRightInd/>
        <w:textAlignment w:val="auto"/>
        <w:rPr>
          <w:rFonts w:ascii="Verdana" w:hAnsi="Verdana"/>
          <w:sz w:val="20"/>
          <w:highlight w:val="yellow"/>
        </w:rPr>
      </w:pPr>
    </w:p>
    <w:p w:rsidRPr="00D24232" w:rsidR="006A1428" w:rsidP="006A1428" w:rsidRDefault="006A1428">
      <w:pPr>
        <w:overflowPunct/>
        <w:autoSpaceDE/>
        <w:autoSpaceDN/>
        <w:adjustRightInd/>
        <w:textAlignment w:val="auto"/>
        <w:rPr>
          <w:rFonts w:ascii="Verdana" w:hAnsi="Verdana"/>
          <w:b/>
          <w:sz w:val="20"/>
          <w:highlight w:val="yellow"/>
        </w:rPr>
      </w:pPr>
      <w:r w:rsidRPr="00D24232">
        <w:rPr>
          <w:rFonts w:ascii="Verdana" w:hAnsi="Verdana"/>
          <w:b/>
          <w:sz w:val="20"/>
          <w:highlight w:val="yellow"/>
        </w:rPr>
        <w:t>Principal Risks and Uncertainties</w:t>
      </w:r>
    </w:p>
    <w:p w:rsidRPr="00D24232" w:rsidR="006A1428" w:rsidP="006A1428" w:rsidRDefault="006A1428">
      <w:pPr>
        <w:overflowPunct/>
        <w:autoSpaceDE/>
        <w:autoSpaceDN/>
        <w:adjustRightInd/>
        <w:textAlignment w:val="auto"/>
        <w:rPr>
          <w:rFonts w:ascii="Verdana" w:hAnsi="Verdana"/>
          <w:sz w:val="20"/>
          <w:highlight w:val="yellow"/>
        </w:rPr>
      </w:pPr>
    </w:p>
    <w:p w:rsidRPr="00D24232" w:rsidR="006A1428" w:rsidP="006A1428" w:rsidRDefault="006A1428">
      <w:pPr>
        <w:overflowPunct/>
        <w:autoSpaceDE/>
        <w:autoSpaceDN/>
        <w:adjustRightInd/>
        <w:textAlignment w:val="auto"/>
        <w:rPr>
          <w:rFonts w:ascii="Verdana" w:hAnsi="Verdana"/>
          <w:sz w:val="20"/>
          <w:highlight w:val="yellow"/>
        </w:rPr>
      </w:pPr>
      <w:r w:rsidRPr="00D24232">
        <w:rPr>
          <w:rFonts w:ascii="Verdana" w:hAnsi="Verdana"/>
          <w:sz w:val="20"/>
          <w:highlight w:val="yellow"/>
        </w:rPr>
        <w:t>The Board has overall responsibility for identifying and mitigating the principal risks it is willing to take to achieve the Company’s strategic objectives. This is done within the Company’s system of internal control including effective risk management.</w:t>
      </w:r>
    </w:p>
    <w:p w:rsidRPr="00D24232" w:rsidR="00A0703C" w:rsidP="006A1428" w:rsidRDefault="00A0703C">
      <w:pPr>
        <w:overflowPunct/>
        <w:autoSpaceDE/>
        <w:autoSpaceDN/>
        <w:adjustRightInd/>
        <w:textAlignment w:val="auto"/>
        <w:rPr>
          <w:rFonts w:ascii="Verdana" w:hAnsi="Verdana"/>
          <w:sz w:val="20"/>
          <w:highlight w:val="yellow"/>
        </w:rPr>
      </w:pPr>
    </w:p>
    <w:p w:rsidRPr="00D24232" w:rsidR="006A1428" w:rsidP="006A1428" w:rsidRDefault="006A1428">
      <w:pPr>
        <w:overflowPunct/>
        <w:autoSpaceDE/>
        <w:autoSpaceDN/>
        <w:adjustRightInd/>
        <w:textAlignment w:val="auto"/>
        <w:rPr>
          <w:rFonts w:ascii="Verdana" w:hAnsi="Verdana"/>
          <w:sz w:val="20"/>
          <w:highlight w:val="yellow"/>
        </w:rPr>
      </w:pPr>
      <w:r w:rsidRPr="00D24232">
        <w:rPr>
          <w:rFonts w:ascii="Verdana" w:hAnsi="Verdana"/>
          <w:sz w:val="20"/>
          <w:highlight w:val="yellow"/>
        </w:rPr>
        <w:t>Strategic risks are considered by their potential to impact on the delivery of the aims, objectives and the provision of services together with the predicted likelihood of the actual event or occurrence and the score registered on a risk matrix. A member of EMT is assigned as being the risk owner and assumes the responsibility of ensuring effective mitigation actions are in place.</w:t>
      </w:r>
    </w:p>
    <w:p w:rsidRPr="00D24232" w:rsidR="006A1428" w:rsidP="006E55F0" w:rsidRDefault="006A1428">
      <w:pPr>
        <w:overflowPunct/>
        <w:autoSpaceDE/>
        <w:autoSpaceDN/>
        <w:adjustRightInd/>
        <w:textAlignment w:val="auto"/>
        <w:rPr>
          <w:rFonts w:ascii="Verdana" w:hAnsi="Verdana"/>
          <w:sz w:val="20"/>
          <w:highlight w:val="yellow"/>
        </w:rPr>
      </w:pPr>
    </w:p>
    <w:p w:rsidRPr="00D24232" w:rsidR="009F3320" w:rsidP="006E55F0" w:rsidRDefault="00B458D0">
      <w:pPr>
        <w:overflowPunct/>
        <w:autoSpaceDE/>
        <w:autoSpaceDN/>
        <w:adjustRightInd/>
        <w:textAlignment w:val="auto"/>
        <w:rPr>
          <w:rFonts w:ascii="Verdana" w:hAnsi="Verdana"/>
          <w:sz w:val="20"/>
          <w:highlight w:val="yellow"/>
        </w:rPr>
      </w:pPr>
      <w:r w:rsidRPr="00D24232">
        <w:rPr>
          <w:rFonts w:ascii="Verdana" w:hAnsi="Verdana"/>
          <w:sz w:val="20"/>
          <w:highlight w:val="yellow"/>
        </w:rPr>
        <w:t xml:space="preserve">The key risks faced by the business include </w:t>
      </w:r>
      <w:r w:rsidRPr="00D24232" w:rsidR="009F3320">
        <w:rPr>
          <w:rFonts w:ascii="Verdana" w:hAnsi="Verdana"/>
          <w:sz w:val="20"/>
          <w:highlight w:val="yellow"/>
        </w:rPr>
        <w:t>changes in Central Government and / or Local Government policy which could impact on LBTH’s decision to extend or award new contracts. Customer satisfaction</w:t>
      </w:r>
      <w:r w:rsidRPr="00D24232" w:rsidR="00C35641">
        <w:rPr>
          <w:rFonts w:ascii="Verdana" w:hAnsi="Verdana"/>
          <w:sz w:val="20"/>
          <w:highlight w:val="yellow"/>
        </w:rPr>
        <w:t xml:space="preserve"> and performance</w:t>
      </w:r>
      <w:r w:rsidRPr="00D24232" w:rsidR="009F3320">
        <w:rPr>
          <w:rFonts w:ascii="Verdana" w:hAnsi="Verdana"/>
          <w:sz w:val="20"/>
          <w:highlight w:val="yellow"/>
        </w:rPr>
        <w:t xml:space="preserve"> is fundamental to influencing LBTH when reviewing </w:t>
      </w:r>
      <w:r w:rsidRPr="00D24232" w:rsidR="00C35641">
        <w:rPr>
          <w:rFonts w:ascii="Verdana" w:hAnsi="Verdana"/>
          <w:sz w:val="20"/>
          <w:highlight w:val="yellow"/>
        </w:rPr>
        <w:t>the contract; with recent, continued improvement in both these areas LBTH h</w:t>
      </w:r>
      <w:r w:rsidRPr="00D24232" w:rsidR="009F3320">
        <w:rPr>
          <w:rFonts w:ascii="Verdana" w:hAnsi="Verdana"/>
          <w:sz w:val="20"/>
          <w:highlight w:val="yellow"/>
        </w:rPr>
        <w:t xml:space="preserve">as recently extended </w:t>
      </w:r>
      <w:r w:rsidRPr="00D24232" w:rsidR="00C35641">
        <w:rPr>
          <w:rFonts w:ascii="Verdana" w:hAnsi="Verdana"/>
          <w:sz w:val="20"/>
          <w:highlight w:val="yellow"/>
        </w:rPr>
        <w:t xml:space="preserve">the contract </w:t>
      </w:r>
      <w:r w:rsidRPr="00D24232" w:rsidR="009F3320">
        <w:rPr>
          <w:rFonts w:ascii="Verdana" w:hAnsi="Verdana"/>
          <w:sz w:val="20"/>
          <w:highlight w:val="yellow"/>
        </w:rPr>
        <w:t xml:space="preserve">to 2020. </w:t>
      </w:r>
    </w:p>
    <w:p w:rsidRPr="00D24232" w:rsidR="009F3320" w:rsidP="006E55F0" w:rsidRDefault="009F3320">
      <w:pPr>
        <w:overflowPunct/>
        <w:autoSpaceDE/>
        <w:autoSpaceDN/>
        <w:adjustRightInd/>
        <w:textAlignment w:val="auto"/>
        <w:rPr>
          <w:rFonts w:ascii="Verdana" w:hAnsi="Verdana"/>
          <w:sz w:val="20"/>
          <w:highlight w:val="yellow"/>
        </w:rPr>
      </w:pPr>
    </w:p>
    <w:p w:rsidRPr="00D24232" w:rsidR="006A1428" w:rsidP="006E55F0" w:rsidRDefault="009F3320">
      <w:pPr>
        <w:overflowPunct/>
        <w:autoSpaceDE/>
        <w:autoSpaceDN/>
        <w:adjustRightInd/>
        <w:textAlignment w:val="auto"/>
        <w:rPr>
          <w:rFonts w:ascii="Verdana" w:hAnsi="Verdana"/>
          <w:sz w:val="20"/>
          <w:highlight w:val="yellow"/>
        </w:rPr>
      </w:pPr>
      <w:r w:rsidRPr="00D24232">
        <w:rPr>
          <w:rFonts w:ascii="Verdana" w:hAnsi="Verdana"/>
          <w:sz w:val="20"/>
          <w:highlight w:val="yellow"/>
        </w:rPr>
        <w:t xml:space="preserve">The business has set aside appropriate provisions to meet its liabilities and </w:t>
      </w:r>
      <w:r w:rsidRPr="00D24232" w:rsidR="00BF7F0B">
        <w:rPr>
          <w:rFonts w:ascii="Verdana" w:hAnsi="Verdana"/>
          <w:sz w:val="20"/>
          <w:highlight w:val="yellow"/>
        </w:rPr>
        <w:t xml:space="preserve">has accumulated reserves to facilitate service delivery and protect the business against uncertain risk. </w:t>
      </w:r>
    </w:p>
    <w:p w:rsidRPr="00D24232" w:rsidR="006A1428" w:rsidP="006E55F0" w:rsidRDefault="006A1428">
      <w:pPr>
        <w:overflowPunct/>
        <w:autoSpaceDE/>
        <w:autoSpaceDN/>
        <w:adjustRightInd/>
        <w:textAlignment w:val="auto"/>
        <w:rPr>
          <w:rFonts w:ascii="Verdana" w:hAnsi="Verdana"/>
          <w:sz w:val="20"/>
          <w:highlight w:val="yellow"/>
        </w:rPr>
      </w:pPr>
    </w:p>
    <w:p w:rsidRPr="00D24232" w:rsidR="00C35641" w:rsidP="006E55F0" w:rsidRDefault="00C35641">
      <w:pPr>
        <w:overflowPunct/>
        <w:autoSpaceDE/>
        <w:autoSpaceDN/>
        <w:adjustRightInd/>
        <w:textAlignment w:val="auto"/>
        <w:rPr>
          <w:rFonts w:ascii="Verdana" w:hAnsi="Verdana"/>
          <w:sz w:val="20"/>
          <w:highlight w:val="yellow"/>
        </w:rPr>
      </w:pPr>
    </w:p>
    <w:p w:rsidRPr="00D24232" w:rsidR="0091172E" w:rsidP="006A1428" w:rsidRDefault="0091172E">
      <w:pPr>
        <w:pStyle w:val="ACText"/>
        <w:rPr>
          <w:rFonts w:ascii="Verdana" w:hAnsi="Verdana" w:cs="Arial"/>
          <w:highlight w:val="yellow"/>
        </w:rPr>
      </w:pPr>
      <w:r w:rsidRPr="00D24232">
        <w:rPr>
          <w:rFonts w:ascii="Verdana" w:hAnsi="Verdana" w:cs="Arial"/>
          <w:highlight w:val="yellow"/>
        </w:rPr>
        <w:t xml:space="preserve">Paul Davey </w:t>
      </w:r>
    </w:p>
    <w:p w:rsidRPr="00D24232" w:rsidR="006E55F0" w:rsidP="006E55F0" w:rsidRDefault="006E55F0">
      <w:pPr>
        <w:pStyle w:val="ACNotesText"/>
        <w:rPr>
          <w:rFonts w:ascii="Verdana" w:hAnsi="Verdana" w:cs="Arial"/>
          <w:highlight w:val="yellow"/>
        </w:rPr>
      </w:pPr>
      <w:r w:rsidRPr="00D24232">
        <w:rPr>
          <w:rFonts w:ascii="Verdana" w:hAnsi="Verdana" w:cs="Arial"/>
          <w:highlight w:val="yellow"/>
        </w:rPr>
        <w:t>Company Secretary</w:t>
      </w:r>
    </w:p>
    <w:p w:rsidRPr="00D24232" w:rsidR="006E55F0" w:rsidP="006E55F0" w:rsidRDefault="006E55F0">
      <w:pPr>
        <w:pStyle w:val="ACNotesText"/>
        <w:spacing w:before="0"/>
        <w:jc w:val="left"/>
        <w:rPr>
          <w:rFonts w:ascii="Verdana" w:hAnsi="Verdana"/>
          <w:highlight w:val="yellow"/>
        </w:rPr>
      </w:pPr>
      <w:r w:rsidRPr="00D24232">
        <w:rPr>
          <w:rFonts w:ascii="Verdana" w:hAnsi="Verdana"/>
          <w:highlight w:val="yellow"/>
        </w:rPr>
        <w:t>Jack Dash House</w:t>
      </w:r>
    </w:p>
    <w:p w:rsidRPr="00D24232" w:rsidR="006E55F0" w:rsidP="006E55F0" w:rsidRDefault="006E55F0">
      <w:pPr>
        <w:pStyle w:val="ACNotesText"/>
        <w:spacing w:before="0"/>
        <w:jc w:val="left"/>
        <w:rPr>
          <w:rFonts w:ascii="Verdana" w:hAnsi="Verdana"/>
          <w:highlight w:val="yellow"/>
        </w:rPr>
      </w:pPr>
      <w:r w:rsidRPr="00D24232">
        <w:rPr>
          <w:rFonts w:ascii="Verdana" w:hAnsi="Verdana"/>
          <w:highlight w:val="yellow"/>
        </w:rPr>
        <w:t>2 Lawn House Close</w:t>
      </w:r>
    </w:p>
    <w:p w:rsidRPr="003B5A11" w:rsidR="006E55F0" w:rsidP="006E55F0" w:rsidRDefault="006E55F0">
      <w:pPr>
        <w:pStyle w:val="ACNotesText"/>
        <w:spacing w:before="0"/>
        <w:jc w:val="left"/>
        <w:rPr>
          <w:rFonts w:ascii="Verdana" w:hAnsi="Verdana"/>
        </w:rPr>
      </w:pPr>
      <w:r w:rsidRPr="00D24232">
        <w:rPr>
          <w:rFonts w:ascii="Verdana" w:hAnsi="Verdana"/>
          <w:highlight w:val="yellow"/>
        </w:rPr>
        <w:t>London E14 9YQ</w:t>
      </w:r>
    </w:p>
    <w:p w:rsidR="006E55F0" w:rsidP="006E55F0" w:rsidRDefault="006E55F0">
      <w:pPr>
        <w:pStyle w:val="ACSectionTOCHeading"/>
        <w:rPr>
          <w:rFonts w:ascii="Verdana" w:hAnsi="Verdana" w:cs="Arial"/>
          <w:b w:val="0"/>
        </w:rPr>
      </w:pPr>
      <w:r>
        <w:rPr>
          <w:rFonts w:ascii="Verdana" w:hAnsi="Verdana" w:cs="Arial"/>
          <w:b w:val="0"/>
        </w:rPr>
        <w:t xml:space="preserve"> </w:t>
      </w:r>
    </w:p>
    <w:p w:rsidR="00FF5374" w:rsidP="00FD6453" w:rsidRDefault="006E55F0">
      <w:pPr>
        <w:pStyle w:val="ACNotesText"/>
        <w:spacing w:before="0"/>
        <w:jc w:val="left"/>
        <w:rPr>
          <w:rFonts w:ascii="Verdana" w:hAnsi="Verdana" w:cs="Arial"/>
          <w:b/>
          <w:sz w:val="26"/>
        </w:rPr>
      </w:pPr>
      <w:r>
        <w:rPr>
          <w:rFonts w:ascii="Verdana" w:hAnsi="Verdana" w:cs="Arial"/>
          <w:b/>
          <w:sz w:val="26"/>
        </w:rPr>
        <w:br w:type="page"/>
      </w:r>
      <w:r w:rsidR="0002345B">
        <w:rPr>
          <w:rFonts w:ascii="Verdana" w:hAnsi="Verdana" w:cs="Arial"/>
          <w:b/>
          <w:sz w:val="26"/>
        </w:rPr>
        <w:lastRenderedPageBreak/>
        <w:t>Statement of Internal</w:t>
      </w:r>
      <w:r w:rsidRPr="00681863" w:rsidR="00FF5374">
        <w:rPr>
          <w:rFonts w:ascii="Verdana" w:hAnsi="Verdana" w:cs="Arial"/>
          <w:b/>
          <w:sz w:val="26"/>
        </w:rPr>
        <w:t xml:space="preserve"> Control </w:t>
      </w:r>
    </w:p>
    <w:p w:rsidRPr="00681863" w:rsidR="006E7F4F" w:rsidP="00FD6453" w:rsidRDefault="006E7F4F">
      <w:pPr>
        <w:pStyle w:val="ACNotesText"/>
        <w:spacing w:before="0"/>
        <w:jc w:val="left"/>
        <w:rPr>
          <w:rFonts w:ascii="Verdana" w:hAnsi="Verdana" w:cs="Arial"/>
        </w:rPr>
      </w:pPr>
    </w:p>
    <w:p w:rsidRPr="004A5271" w:rsidR="00FF5374" w:rsidP="00FF5374" w:rsidRDefault="00FF5374">
      <w:pPr>
        <w:pStyle w:val="ACText"/>
        <w:rPr>
          <w:rFonts w:ascii="Verdana" w:hAnsi="Verdana" w:cs="Arial"/>
        </w:rPr>
      </w:pPr>
      <w:r w:rsidRPr="004A5271">
        <w:rPr>
          <w:rFonts w:ascii="Verdana" w:hAnsi="Verdana" w:cs="Arial"/>
        </w:rPr>
        <w:t>The Board of Directors acknowledges its ultimate responsibility for ensuring that the Company has in place a system of controls that is appropriate to the various business environments in which it operates. These controls are designed to give reasonable assurance with respect to:</w:t>
      </w:r>
    </w:p>
    <w:p w:rsidRPr="004A5271" w:rsidR="00FF5374" w:rsidP="006047D8" w:rsidRDefault="00604357">
      <w:pPr>
        <w:pStyle w:val="ACText"/>
        <w:numPr>
          <w:ilvl w:val="0"/>
          <w:numId w:val="11"/>
        </w:numPr>
        <w:rPr>
          <w:rFonts w:ascii="Verdana" w:hAnsi="Verdana" w:cs="Arial"/>
        </w:rPr>
      </w:pPr>
      <w:r w:rsidRPr="004A5271">
        <w:rPr>
          <w:rFonts w:ascii="Verdana" w:hAnsi="Verdana" w:cs="Arial"/>
        </w:rPr>
        <w:t>t</w:t>
      </w:r>
      <w:r w:rsidRPr="004A5271" w:rsidR="00FF5374">
        <w:rPr>
          <w:rFonts w:ascii="Verdana" w:hAnsi="Verdana" w:cs="Arial"/>
        </w:rPr>
        <w:t>he reliability of financial information used within the Company or for publication;</w:t>
      </w:r>
    </w:p>
    <w:p w:rsidRPr="004A5271" w:rsidR="00FF5374" w:rsidP="006047D8" w:rsidRDefault="00604357">
      <w:pPr>
        <w:pStyle w:val="ACText"/>
        <w:numPr>
          <w:ilvl w:val="0"/>
          <w:numId w:val="11"/>
        </w:numPr>
        <w:rPr>
          <w:rFonts w:ascii="Verdana" w:hAnsi="Verdana" w:cs="Arial"/>
        </w:rPr>
      </w:pPr>
      <w:r w:rsidRPr="004A5271">
        <w:rPr>
          <w:rFonts w:ascii="Verdana" w:hAnsi="Verdana" w:cs="Arial"/>
        </w:rPr>
        <w:t>t</w:t>
      </w:r>
      <w:r w:rsidRPr="004A5271" w:rsidR="00FF5374">
        <w:rPr>
          <w:rFonts w:ascii="Verdana" w:hAnsi="Verdana" w:cs="Arial"/>
        </w:rPr>
        <w:t>he maintenance of proper accounting records; and</w:t>
      </w:r>
    </w:p>
    <w:p w:rsidRPr="004A5271" w:rsidR="00FF5374" w:rsidP="006047D8" w:rsidRDefault="00604357">
      <w:pPr>
        <w:pStyle w:val="ACText"/>
        <w:numPr>
          <w:ilvl w:val="0"/>
          <w:numId w:val="11"/>
        </w:numPr>
        <w:rPr>
          <w:rFonts w:ascii="Verdana" w:hAnsi="Verdana" w:cs="Arial"/>
        </w:rPr>
      </w:pPr>
      <w:r w:rsidRPr="004A5271">
        <w:rPr>
          <w:rFonts w:ascii="Verdana" w:hAnsi="Verdana" w:cs="Arial"/>
        </w:rPr>
        <w:t>t</w:t>
      </w:r>
      <w:r w:rsidRPr="004A5271" w:rsidR="00FF5374">
        <w:rPr>
          <w:rFonts w:ascii="Verdana" w:hAnsi="Verdana" w:cs="Arial"/>
        </w:rPr>
        <w:t>he safeguarding of assets against unauthorised use or disposal.</w:t>
      </w:r>
    </w:p>
    <w:p w:rsidRPr="004A5271" w:rsidR="00FF5374" w:rsidP="00FF5374" w:rsidRDefault="00FF5374">
      <w:pPr>
        <w:pStyle w:val="ACText"/>
        <w:rPr>
          <w:rFonts w:ascii="Verdana" w:hAnsi="Verdana" w:cs="Arial"/>
        </w:rPr>
      </w:pPr>
      <w:r w:rsidRPr="004A5271">
        <w:rPr>
          <w:rFonts w:ascii="Verdana" w:hAnsi="Verdana" w:cs="Arial"/>
        </w:rPr>
        <w:t>It is the Board of Directors</w:t>
      </w:r>
      <w:r w:rsidR="00630C3D">
        <w:rPr>
          <w:rFonts w:ascii="Verdana" w:hAnsi="Verdana" w:cs="Arial"/>
        </w:rPr>
        <w:t>’</w:t>
      </w:r>
      <w:r w:rsidRPr="004A5271">
        <w:rPr>
          <w:rFonts w:ascii="Verdana" w:hAnsi="Verdana" w:cs="Arial"/>
        </w:rPr>
        <w:t xml:space="preserve"> responsibility to establish and maintain systems of internal financial control. Such systems can only provide reasonable and not absolute assurance against material financial misstatement or loss. The system of financial control includes the following key elements:</w:t>
      </w:r>
    </w:p>
    <w:p w:rsidRPr="004A5271" w:rsidR="00FF5374" w:rsidP="006047D8" w:rsidRDefault="00DE5F07">
      <w:pPr>
        <w:pStyle w:val="ACText"/>
        <w:numPr>
          <w:ilvl w:val="0"/>
          <w:numId w:val="12"/>
        </w:numPr>
        <w:rPr>
          <w:rFonts w:ascii="Verdana" w:hAnsi="Verdana" w:cs="Arial"/>
        </w:rPr>
      </w:pPr>
      <w:r w:rsidRPr="004A5271">
        <w:rPr>
          <w:rFonts w:ascii="Verdana" w:hAnsi="Verdana" w:cs="Arial"/>
        </w:rPr>
        <w:t>f</w:t>
      </w:r>
      <w:r w:rsidRPr="004A5271" w:rsidR="00FF5374">
        <w:rPr>
          <w:rFonts w:ascii="Verdana" w:hAnsi="Verdana" w:cs="Arial"/>
        </w:rPr>
        <w:t>ormal policies and procedures are in place, including the documentation of key systems and rules relating to the delegation of authorities, which allow the monitoring of controls and restrict the unauthorised use of the Company’s assets. Within the Company’s Financial Regulations &amp; Standing Orders authority levels are specified for all authorised signatories and delegated authorities documented</w:t>
      </w:r>
      <w:r w:rsidRPr="004A5271">
        <w:rPr>
          <w:rFonts w:ascii="Verdana" w:hAnsi="Verdana" w:cs="Arial"/>
        </w:rPr>
        <w:t>;</w:t>
      </w:r>
      <w:r w:rsidRPr="004A5271" w:rsidR="00FF5374">
        <w:rPr>
          <w:rFonts w:ascii="Verdana" w:hAnsi="Verdana" w:cs="Arial"/>
        </w:rPr>
        <w:t xml:space="preserve"> </w:t>
      </w:r>
    </w:p>
    <w:p w:rsidRPr="004A5271" w:rsidR="00FF5374" w:rsidP="006047D8" w:rsidRDefault="00DE5F07">
      <w:pPr>
        <w:pStyle w:val="ACText"/>
        <w:numPr>
          <w:ilvl w:val="0"/>
          <w:numId w:val="12"/>
        </w:numPr>
        <w:rPr>
          <w:rFonts w:ascii="Verdana" w:hAnsi="Verdana" w:cs="Arial"/>
        </w:rPr>
      </w:pPr>
      <w:r w:rsidRPr="004A5271">
        <w:rPr>
          <w:rFonts w:ascii="Verdana" w:hAnsi="Verdana" w:cs="Arial"/>
        </w:rPr>
        <w:t>e</w:t>
      </w:r>
      <w:r w:rsidRPr="004A5271" w:rsidR="00FF5374">
        <w:rPr>
          <w:rFonts w:ascii="Verdana" w:hAnsi="Verdana" w:cs="Arial"/>
        </w:rPr>
        <w:t>xperienced and suitably qualified staff to take responsibility for important business functions. Annual employee development review procedures have been established to maintain standards of performance;</w:t>
      </w:r>
    </w:p>
    <w:p w:rsidRPr="004A5271" w:rsidR="00FF5374" w:rsidP="006047D8" w:rsidRDefault="00DE5F07">
      <w:pPr>
        <w:pStyle w:val="ACText"/>
        <w:numPr>
          <w:ilvl w:val="0"/>
          <w:numId w:val="12"/>
        </w:numPr>
        <w:rPr>
          <w:rFonts w:ascii="Verdana" w:hAnsi="Verdana" w:cs="Arial"/>
        </w:rPr>
      </w:pPr>
      <w:r w:rsidRPr="004A5271">
        <w:rPr>
          <w:rFonts w:ascii="Verdana" w:hAnsi="Verdana" w:cs="Arial"/>
        </w:rPr>
        <w:t>r</w:t>
      </w:r>
      <w:r w:rsidRPr="004A5271" w:rsidR="00FF5374">
        <w:rPr>
          <w:rFonts w:ascii="Verdana" w:hAnsi="Verdana" w:cs="Arial"/>
        </w:rPr>
        <w:t>egular internal audit to undertake reviews on the effectiveness of internal controls;</w:t>
      </w:r>
    </w:p>
    <w:p w:rsidRPr="004A5271" w:rsidR="00FF5374" w:rsidP="006047D8" w:rsidRDefault="00DE5F07">
      <w:pPr>
        <w:pStyle w:val="ACText"/>
        <w:numPr>
          <w:ilvl w:val="0"/>
          <w:numId w:val="12"/>
        </w:numPr>
        <w:rPr>
          <w:rFonts w:ascii="Verdana" w:hAnsi="Verdana" w:cs="Arial"/>
        </w:rPr>
      </w:pPr>
      <w:r w:rsidRPr="004A5271">
        <w:rPr>
          <w:rFonts w:ascii="Verdana" w:hAnsi="Verdana" w:cs="Arial"/>
        </w:rPr>
        <w:t>t</w:t>
      </w:r>
      <w:r w:rsidRPr="004A5271" w:rsidR="00FF5374">
        <w:rPr>
          <w:rFonts w:ascii="Verdana" w:hAnsi="Verdana" w:cs="Arial"/>
        </w:rPr>
        <w:t>he establishment of written policies and procedures and a scheme of delegated authorities designed to ensure that proper accounting records are maintained;</w:t>
      </w:r>
    </w:p>
    <w:p w:rsidRPr="004A5271" w:rsidR="00FF5374" w:rsidP="006047D8" w:rsidRDefault="00DE5F07">
      <w:pPr>
        <w:pStyle w:val="ACText"/>
        <w:numPr>
          <w:ilvl w:val="0"/>
          <w:numId w:val="12"/>
        </w:numPr>
        <w:rPr>
          <w:rFonts w:ascii="Verdana" w:hAnsi="Verdana" w:cs="Arial"/>
        </w:rPr>
      </w:pPr>
      <w:r w:rsidRPr="004A5271">
        <w:rPr>
          <w:rFonts w:ascii="Verdana" w:hAnsi="Verdana" w:cs="Arial"/>
        </w:rPr>
        <w:t>a</w:t>
      </w:r>
      <w:r w:rsidRPr="004A5271" w:rsidR="00FF5374">
        <w:rPr>
          <w:rFonts w:ascii="Verdana" w:hAnsi="Verdana" w:cs="Arial"/>
        </w:rPr>
        <w:t xml:space="preserve"> risk management framework in which priority risks are reviewed by the Chief Executive and senior managers;</w:t>
      </w:r>
    </w:p>
    <w:p w:rsidRPr="004A5271" w:rsidR="00FF5374" w:rsidP="006047D8" w:rsidRDefault="00DE5F07">
      <w:pPr>
        <w:pStyle w:val="ACText"/>
        <w:numPr>
          <w:ilvl w:val="0"/>
          <w:numId w:val="12"/>
        </w:numPr>
        <w:rPr>
          <w:rFonts w:ascii="Verdana" w:hAnsi="Verdana" w:cs="Arial"/>
        </w:rPr>
      </w:pPr>
      <w:r w:rsidRPr="004A5271">
        <w:rPr>
          <w:rFonts w:ascii="Verdana" w:hAnsi="Verdana" w:cs="Arial"/>
        </w:rPr>
        <w:t>f</w:t>
      </w:r>
      <w:r w:rsidRPr="004A5271" w:rsidR="00FF5374">
        <w:rPr>
          <w:rFonts w:ascii="Verdana" w:hAnsi="Verdana" w:cs="Arial"/>
        </w:rPr>
        <w:t>orecasts and budgets are prepared which allow the Board of Directors and management to monitor the key business risks and financial objectives and progress towards financial plans set for the period and the medium term. Regular management accounts are prepared promptly, providing relevant, reliable and up-to-date financial and other information and significant variances from budgets are investigated as appropriate;</w:t>
      </w:r>
    </w:p>
    <w:p w:rsidRPr="004A5271" w:rsidR="00FF5374" w:rsidP="006047D8" w:rsidRDefault="00DE5F07">
      <w:pPr>
        <w:pStyle w:val="ACText"/>
        <w:numPr>
          <w:ilvl w:val="0"/>
          <w:numId w:val="12"/>
        </w:numPr>
        <w:rPr>
          <w:rFonts w:ascii="Verdana" w:hAnsi="Verdana" w:cs="Arial"/>
        </w:rPr>
      </w:pPr>
      <w:r w:rsidRPr="004A5271">
        <w:rPr>
          <w:rFonts w:ascii="Verdana" w:hAnsi="Verdana" w:cs="Arial"/>
        </w:rPr>
        <w:t>a</w:t>
      </w:r>
      <w:r w:rsidRPr="004A5271" w:rsidR="00FF5374">
        <w:rPr>
          <w:rFonts w:ascii="Verdana" w:hAnsi="Verdana" w:cs="Arial"/>
        </w:rPr>
        <w:t>ll significant new initiatives, major commitments and investment projects are subject to formal authorisation procedures, through the Board of Directors and officers of the Company;</w:t>
      </w:r>
    </w:p>
    <w:p w:rsidRPr="004A5271" w:rsidR="00FF5374" w:rsidP="006047D8" w:rsidRDefault="00DE5F07">
      <w:pPr>
        <w:pStyle w:val="ACText"/>
        <w:numPr>
          <w:ilvl w:val="0"/>
          <w:numId w:val="12"/>
        </w:numPr>
        <w:rPr>
          <w:rFonts w:ascii="Verdana" w:hAnsi="Verdana" w:cs="Arial"/>
        </w:rPr>
      </w:pPr>
      <w:r w:rsidRPr="004A5271">
        <w:rPr>
          <w:rFonts w:ascii="Verdana" w:hAnsi="Verdana" w:cs="Arial"/>
        </w:rPr>
        <w:t>t</w:t>
      </w:r>
      <w:r w:rsidRPr="004A5271" w:rsidR="00FF5374">
        <w:rPr>
          <w:rFonts w:ascii="Verdana" w:hAnsi="Verdana" w:cs="Arial"/>
        </w:rPr>
        <w:t xml:space="preserve">he Board of Directors reviews reports from management, from internal auditors and from the external auditors to provide reasonable assurance that control procedures are in place and are being followed. The report by management includes a general view of the major risks facing the Company and the Risk Management department  monitors these risks and provides countermeasures to the risks where necessary; </w:t>
      </w:r>
    </w:p>
    <w:p w:rsidRPr="004A5271" w:rsidR="00FF5374" w:rsidP="006047D8" w:rsidRDefault="00162971">
      <w:pPr>
        <w:pStyle w:val="ACText"/>
        <w:numPr>
          <w:ilvl w:val="0"/>
          <w:numId w:val="12"/>
        </w:numPr>
        <w:rPr>
          <w:rFonts w:ascii="Verdana" w:hAnsi="Verdana" w:cs="Arial"/>
        </w:rPr>
      </w:pPr>
      <w:r w:rsidRPr="004A5271">
        <w:rPr>
          <w:rFonts w:ascii="Verdana" w:hAnsi="Verdana" w:cs="Arial"/>
        </w:rPr>
        <w:t>f</w:t>
      </w:r>
      <w:r w:rsidRPr="004A5271" w:rsidR="00FF5374">
        <w:rPr>
          <w:rFonts w:ascii="Verdana" w:hAnsi="Verdana" w:cs="Arial"/>
        </w:rPr>
        <w:t>ormal procedures have been established for instituting appropriate action to correct weaknesses identified from the above reports.</w:t>
      </w:r>
    </w:p>
    <w:p w:rsidR="00CF2DC3" w:rsidP="00FF5374" w:rsidRDefault="00FF5374">
      <w:pPr>
        <w:pStyle w:val="ACText"/>
        <w:rPr>
          <w:rFonts w:ascii="Verdana" w:hAnsi="Verdana" w:cs="Arial"/>
        </w:rPr>
      </w:pPr>
      <w:bookmarkStart w:name="AR_Add1" w:id="19"/>
      <w:bookmarkStart w:name="AR_Add7" w:id="20"/>
      <w:bookmarkEnd w:id="19"/>
      <w:bookmarkEnd w:id="20"/>
      <w:r w:rsidRPr="00681863">
        <w:rPr>
          <w:rFonts w:ascii="Verdana" w:hAnsi="Verdana" w:cs="Arial"/>
        </w:rPr>
        <w:t xml:space="preserve">During the period management has received regular reports from the internal auditors covering the effectiveness of the systems of operational and financial controls. On behalf of the Board, management has reviewed the effectiveness of systems of internal financial control in existence for the </w:t>
      </w:r>
      <w:r>
        <w:rPr>
          <w:rFonts w:ascii="Verdana" w:hAnsi="Verdana" w:cs="Arial"/>
        </w:rPr>
        <w:t xml:space="preserve">year </w:t>
      </w:r>
      <w:r w:rsidRPr="00681863">
        <w:rPr>
          <w:rFonts w:ascii="Verdana" w:hAnsi="Verdana" w:cs="Arial"/>
        </w:rPr>
        <w:t xml:space="preserve">ended </w:t>
      </w:r>
      <w:r w:rsidR="009530CE">
        <w:rPr>
          <w:rFonts w:ascii="Verdana" w:hAnsi="Verdana" w:cs="Arial"/>
        </w:rPr>
        <w:t>31 March 20</w:t>
      </w:r>
      <w:r w:rsidR="00A22F3F">
        <w:rPr>
          <w:rFonts w:ascii="Verdana" w:hAnsi="Verdana" w:cs="Arial"/>
        </w:rPr>
        <w:t>1</w:t>
      </w:r>
      <w:r w:rsidR="00AB1242">
        <w:rPr>
          <w:rFonts w:ascii="Verdana" w:hAnsi="Verdana" w:cs="Arial"/>
        </w:rPr>
        <w:t>8</w:t>
      </w:r>
      <w:r w:rsidR="0012692B">
        <w:rPr>
          <w:rFonts w:ascii="Verdana" w:hAnsi="Verdana" w:cs="Arial"/>
        </w:rPr>
        <w:t xml:space="preserve">. </w:t>
      </w:r>
      <w:r w:rsidRPr="00681863">
        <w:rPr>
          <w:rFonts w:ascii="Verdana" w:hAnsi="Verdana" w:cs="Arial"/>
        </w:rPr>
        <w:t xml:space="preserve">No weaknesses were found in the </w:t>
      </w:r>
      <w:r w:rsidRPr="00681863">
        <w:rPr>
          <w:rFonts w:ascii="Verdana" w:hAnsi="Verdana" w:cs="Arial"/>
        </w:rPr>
        <w:lastRenderedPageBreak/>
        <w:t>internal controls which resulted in material losses, contingencies or uncertainties which require disclosure in the financial statements. The Board of Directors is satisfied that this remains the case up to the signing of these documents.</w:t>
      </w:r>
      <w:r w:rsidR="0012692B">
        <w:rPr>
          <w:rFonts w:ascii="Verdana" w:hAnsi="Verdana" w:cs="Arial"/>
        </w:rPr>
        <w:t xml:space="preserve"> </w:t>
      </w:r>
    </w:p>
    <w:p w:rsidR="008300C0" w:rsidP="00F065D0" w:rsidRDefault="00557095">
      <w:pPr>
        <w:keepNext/>
        <w:spacing w:after="120"/>
        <w:rPr>
          <w:rFonts w:ascii="Verdana" w:hAnsi="Verdana"/>
          <w:b/>
          <w:sz w:val="26"/>
          <w:szCs w:val="26"/>
        </w:rPr>
      </w:pPr>
      <w:bookmarkStart w:name="_Toc360004343" w:id="21"/>
      <w:bookmarkStart w:name="_Toc372451427" w:id="22"/>
      <w:bookmarkStart w:name="_Toc372714798" w:id="23"/>
      <w:bookmarkStart w:name="_Toc373827136" w:id="24"/>
      <w:bookmarkStart w:name="_Toc374516812" w:id="25"/>
      <w:bookmarkStart w:name="_Toc379084154" w:id="26"/>
      <w:bookmarkStart w:name="_Toc379084660" w:id="27"/>
      <w:bookmarkStart w:name="_Toc379288013" w:id="28"/>
      <w:bookmarkStart w:name="_Toc379340737" w:id="29"/>
      <w:bookmarkStart w:name="_Toc379431133" w:id="30"/>
      <w:bookmarkStart w:name="_Toc386095954" w:id="31"/>
      <w:bookmarkStart w:name="_Toc386274261" w:id="32"/>
      <w:bookmarkStart w:name="_Toc457718233" w:id="33"/>
      <w:bookmarkStart w:name="_Toc533480457" w:id="34"/>
      <w:r>
        <w:rPr>
          <w:rFonts w:ascii="Verdana" w:hAnsi="Verdana" w:cs="Arial"/>
          <w:b/>
          <w:sz w:val="26"/>
        </w:rPr>
        <w:br w:type="page"/>
      </w:r>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8300C0" w:rsidR="008300C0">
        <w:rPr>
          <w:rFonts w:ascii="Verdana" w:hAnsi="Verdana"/>
          <w:b/>
          <w:sz w:val="26"/>
          <w:szCs w:val="26"/>
        </w:rPr>
        <w:lastRenderedPageBreak/>
        <w:t>Statement of Directors’ Responsibilities in respect of the Strategic Report, the Directors’ Report and the Financial Statements</w:t>
      </w:r>
    </w:p>
    <w:p w:rsidRPr="008300C0" w:rsidR="008300C0" w:rsidP="008300C0" w:rsidRDefault="008300C0">
      <w:pPr>
        <w:keepNext/>
        <w:spacing w:after="120"/>
        <w:rPr>
          <w:rFonts w:ascii="Verdana" w:hAnsi="Verdana"/>
          <w:b/>
          <w:sz w:val="26"/>
          <w:szCs w:val="26"/>
        </w:rPr>
      </w:pPr>
    </w:p>
    <w:p w:rsidRPr="00F065D0" w:rsidR="008300C0" w:rsidP="008300C0" w:rsidRDefault="008300C0">
      <w:pPr>
        <w:spacing w:after="120"/>
        <w:rPr>
          <w:rFonts w:ascii="Verdana" w:hAnsi="Verdana"/>
          <w:sz w:val="20"/>
        </w:rPr>
      </w:pPr>
      <w:r w:rsidRPr="00F065D0">
        <w:rPr>
          <w:rFonts w:ascii="Verdana" w:hAnsi="Verdana"/>
          <w:sz w:val="20"/>
        </w:rPr>
        <w:t xml:space="preserve">The directors are responsible for preparing the Strategic Report, the Directors’ Report and the financial statements in accordance with applicable law and regulations.  </w:t>
      </w:r>
    </w:p>
    <w:p w:rsidRPr="00F065D0" w:rsidR="008300C0" w:rsidP="008300C0" w:rsidRDefault="008300C0">
      <w:pPr>
        <w:spacing w:after="120"/>
        <w:rPr>
          <w:rFonts w:ascii="Verdana" w:hAnsi="Verdana"/>
          <w:sz w:val="20"/>
        </w:rPr>
      </w:pPr>
      <w:r w:rsidRPr="00F065D0">
        <w:rPr>
          <w:rFonts w:ascii="Verdana" w:hAnsi="Verdana"/>
          <w:sz w:val="20"/>
        </w:rPr>
        <w:t>Company law requires the directors to prepare financial statements for each financial year.  Under that law they have elected to prepare the financial statements in accordance with UK Accounting Standards and applicable law (UK</w:t>
      </w:r>
      <w:r w:rsidRPr="00F065D0">
        <w:rPr>
          <w:rFonts w:ascii="Verdana" w:hAnsi="Verdana"/>
          <w:sz w:val="20"/>
          <w:lang w:eastAsia="en-GB"/>
        </w:rPr>
        <w:t xml:space="preserve"> Generally Accepted Accounting Practice).</w:t>
      </w:r>
      <w:r w:rsidRPr="00F065D0">
        <w:rPr>
          <w:rFonts w:ascii="Verdana" w:hAnsi="Verdana"/>
          <w:sz w:val="20"/>
        </w:rPr>
        <w:t xml:space="preserve">  </w:t>
      </w:r>
    </w:p>
    <w:p w:rsidRPr="00F065D0" w:rsidR="008300C0" w:rsidP="008300C0" w:rsidRDefault="008300C0">
      <w:pPr>
        <w:spacing w:after="120"/>
        <w:rPr>
          <w:rFonts w:ascii="Verdana" w:hAnsi="Verdana"/>
          <w:sz w:val="20"/>
        </w:rPr>
      </w:pPr>
      <w:r w:rsidRPr="00F065D0">
        <w:rPr>
          <w:rFonts w:ascii="Verdana" w:hAnsi="Verdana"/>
          <w:sz w:val="20"/>
        </w:rPr>
        <w:t xml:space="preserve">Under company law the directors must not approve the financial statements unless they are satisfied that they give a true and fair view of the state of affairs of the company and of the profit or loss of the company for that period.  In preparing these financial statements, the directors are required to:  </w:t>
      </w:r>
    </w:p>
    <w:p w:rsidRPr="00F065D0" w:rsidR="008300C0" w:rsidP="006047D8" w:rsidRDefault="008300C0">
      <w:pPr>
        <w:numPr>
          <w:ilvl w:val="0"/>
          <w:numId w:val="14"/>
        </w:numPr>
        <w:overflowPunct/>
        <w:spacing w:after="120"/>
        <w:textAlignment w:val="auto"/>
        <w:rPr>
          <w:rFonts w:ascii="Verdana" w:hAnsi="Verdana"/>
          <w:sz w:val="20"/>
        </w:rPr>
      </w:pPr>
      <w:r w:rsidRPr="00F065D0">
        <w:rPr>
          <w:rFonts w:ascii="Verdana" w:hAnsi="Verdana"/>
          <w:sz w:val="20"/>
        </w:rPr>
        <w:t xml:space="preserve">select suitable accounting policies and then apply them consistently;  </w:t>
      </w:r>
    </w:p>
    <w:p w:rsidRPr="00F065D0" w:rsidR="008300C0" w:rsidP="006047D8" w:rsidRDefault="008300C0">
      <w:pPr>
        <w:numPr>
          <w:ilvl w:val="0"/>
          <w:numId w:val="14"/>
        </w:numPr>
        <w:overflowPunct/>
        <w:spacing w:after="120"/>
        <w:textAlignment w:val="auto"/>
        <w:rPr>
          <w:rFonts w:ascii="Verdana" w:hAnsi="Verdana"/>
          <w:sz w:val="20"/>
        </w:rPr>
      </w:pPr>
      <w:r w:rsidRPr="00F065D0">
        <w:rPr>
          <w:rFonts w:ascii="Verdana" w:hAnsi="Verdana"/>
          <w:sz w:val="20"/>
        </w:rPr>
        <w:t xml:space="preserve">make judgements and estimates that are reasonable and prudent;  </w:t>
      </w:r>
    </w:p>
    <w:p w:rsidRPr="00F065D0" w:rsidR="008300C0" w:rsidP="006047D8" w:rsidRDefault="008300C0">
      <w:pPr>
        <w:numPr>
          <w:ilvl w:val="0"/>
          <w:numId w:val="14"/>
        </w:numPr>
        <w:overflowPunct/>
        <w:spacing w:after="120"/>
        <w:textAlignment w:val="auto"/>
        <w:rPr>
          <w:rFonts w:ascii="Verdana" w:hAnsi="Verdana"/>
          <w:sz w:val="20"/>
        </w:rPr>
      </w:pPr>
      <w:r w:rsidRPr="00F065D0">
        <w:rPr>
          <w:rFonts w:ascii="Verdana" w:hAnsi="Verdana"/>
          <w:sz w:val="20"/>
        </w:rPr>
        <w:t xml:space="preserve">state whether applicable UK Accounting Standards have been followed, subject to any material departures disclosed and explained in the financial statements; and  </w:t>
      </w:r>
    </w:p>
    <w:p w:rsidRPr="00F065D0" w:rsidR="008300C0" w:rsidP="006047D8" w:rsidRDefault="008300C0">
      <w:pPr>
        <w:numPr>
          <w:ilvl w:val="0"/>
          <w:numId w:val="14"/>
        </w:numPr>
        <w:overflowPunct/>
        <w:spacing w:after="120"/>
        <w:textAlignment w:val="auto"/>
        <w:rPr>
          <w:rFonts w:ascii="Verdana" w:hAnsi="Verdana"/>
          <w:sz w:val="20"/>
        </w:rPr>
      </w:pPr>
      <w:r w:rsidRPr="00F065D0">
        <w:rPr>
          <w:rFonts w:ascii="Verdana" w:hAnsi="Verdana"/>
          <w:sz w:val="20"/>
        </w:rPr>
        <w:t>prepare the financial statements on the going concern basis unless it is inappropriate to presume that the company will continue in business.</w:t>
      </w:r>
    </w:p>
    <w:p w:rsidRPr="00F065D0" w:rsidR="008300C0" w:rsidP="008300C0" w:rsidRDefault="008300C0">
      <w:pPr>
        <w:spacing w:after="120"/>
        <w:rPr>
          <w:rFonts w:ascii="Verdana" w:hAnsi="Verdana"/>
          <w:sz w:val="20"/>
        </w:rPr>
      </w:pPr>
      <w:r w:rsidRPr="00F065D0">
        <w:rPr>
          <w:rFonts w:ascii="Verdana" w:hAnsi="Verdana"/>
          <w:sz w:val="20"/>
        </w:rPr>
        <w:t xml:space="preserve">The directors are responsible for keeping adequate accounting records that are sufficient to show and explain the company’s transactions and disclose with reasonable accuracy at any time the financial position of the company and enable them to ensure that the financial statements comply with the Companies Act 2006.  They have general responsibility for taking such steps as are reasonably open to them to safeguard the assets of the company and to prevent and detect fraud and other irregularities.  </w:t>
      </w:r>
    </w:p>
    <w:p w:rsidRPr="00F065D0" w:rsidR="008300C0" w:rsidP="008300C0" w:rsidRDefault="008300C0">
      <w:pPr>
        <w:spacing w:after="120"/>
        <w:rPr>
          <w:rFonts w:ascii="Verdana" w:hAnsi="Verdana"/>
          <w:sz w:val="20"/>
        </w:rPr>
      </w:pPr>
      <w:r w:rsidRPr="00F065D0">
        <w:rPr>
          <w:rFonts w:ascii="Verdana" w:hAnsi="Verdana"/>
          <w:sz w:val="20"/>
        </w:rPr>
        <w:t>The directors are responsible for the maintenance and integrity of the corporate and financial information included on the company’s website.  Legislation in the UK governing the preparation and dissemination of financial statements may differ from legislation in other jurisdictions.</w:t>
      </w:r>
    </w:p>
    <w:p w:rsidRPr="00CF2DC3" w:rsidR="00CF2DC3" w:rsidP="00CF2DC3" w:rsidRDefault="00CF2DC3">
      <w:pPr>
        <w:rPr>
          <w:rFonts w:ascii="Verdana" w:hAnsi="Verdana"/>
          <w:sz w:val="20"/>
        </w:rPr>
      </w:pPr>
    </w:p>
    <w:p w:rsidRPr="00681863" w:rsidR="00FF5374" w:rsidP="00FF5374" w:rsidRDefault="00FF5374">
      <w:pPr>
        <w:pStyle w:val="ACText"/>
        <w:rPr>
          <w:rFonts w:ascii="Verdana" w:hAnsi="Verdana" w:cs="Arial"/>
        </w:rPr>
        <w:sectPr w:rsidRPr="00681863" w:rsidR="00FF5374" w:rsidSect="00475708">
          <w:footerReference w:type="first" r:id="rId15"/>
          <w:type w:val="continuous"/>
          <w:pgSz w:w="11907" w:h="16840" w:code="9"/>
          <w:pgMar w:top="2041" w:right="1276" w:bottom="1418" w:left="1276" w:header="720" w:footer="720" w:gutter="0"/>
          <w:cols w:space="720"/>
        </w:sectPr>
      </w:pPr>
      <w:r w:rsidRPr="00681863">
        <w:rPr>
          <w:rFonts w:ascii="Verdana" w:hAnsi="Verdana" w:cs="Arial"/>
        </w:rPr>
        <w:t xml:space="preserve">  </w:t>
      </w:r>
    </w:p>
    <w:p w:rsidRPr="00D24232" w:rsidR="00997BF4" w:rsidP="00997BF4" w:rsidRDefault="00121B7C">
      <w:pPr>
        <w:ind w:left="720" w:hanging="720"/>
        <w:rPr>
          <w:rFonts w:ascii="Verdana" w:hAnsi="Verdana" w:cs="Arial"/>
          <w:b/>
          <w:sz w:val="20"/>
          <w:highlight w:val="yellow"/>
          <w:lang w:eastAsia="en-GB"/>
        </w:rPr>
      </w:pPr>
      <w:r>
        <w:rPr>
          <w:rFonts w:ascii="Verdana" w:hAnsi="Verdana"/>
          <w:b/>
          <w:sz w:val="26"/>
          <w:szCs w:val="26"/>
          <w:lang w:eastAsia="en-GB"/>
        </w:rPr>
        <w:lastRenderedPageBreak/>
        <w:br w:type="page"/>
      </w:r>
      <w:r w:rsidRPr="00D24232" w:rsidR="00997BF4">
        <w:rPr>
          <w:rFonts w:ascii="Verdana" w:hAnsi="Verdana" w:cs="Arial"/>
          <w:b/>
          <w:sz w:val="20"/>
          <w:highlight w:val="yellow"/>
          <w:u w:val="single"/>
          <w:lang w:eastAsia="en-GB"/>
        </w:rPr>
        <w:lastRenderedPageBreak/>
        <w:t>Independent Auditor’s Report to the Members of Tower Hamlets Homes Ltd</w:t>
      </w:r>
    </w:p>
    <w:p w:rsidRPr="00D24232" w:rsidR="00997BF4" w:rsidP="00997BF4" w:rsidRDefault="00997BF4">
      <w:pPr>
        <w:tabs>
          <w:tab w:val="left" w:pos="1560"/>
          <w:tab w:val="center" w:pos="4153"/>
          <w:tab w:val="right" w:pos="8306"/>
        </w:tabs>
        <w:rPr>
          <w:rFonts w:ascii="Verdana" w:hAnsi="Verdana" w:cs="Arial"/>
          <w:i/>
          <w:sz w:val="20"/>
          <w:highlight w:val="yellow"/>
          <w:lang w:eastAsia="en-GB"/>
        </w:rPr>
      </w:pPr>
      <w:bookmarkStart w:name="AR_Add2" w:id="35"/>
      <w:bookmarkStart w:name="AR_Add3" w:id="36"/>
      <w:bookmarkStart w:name="AR_Add4" w:id="37"/>
      <w:bookmarkStart w:name="AR_Add5" w:id="38"/>
      <w:bookmarkStart w:name="AR_Add6" w:id="39"/>
      <w:bookmarkEnd w:id="35"/>
      <w:bookmarkEnd w:id="36"/>
      <w:bookmarkEnd w:id="37"/>
      <w:bookmarkEnd w:id="38"/>
      <w:bookmarkEnd w:id="39"/>
    </w:p>
    <w:p w:rsidRPr="00D24232" w:rsidR="00997BF4" w:rsidP="00997BF4" w:rsidRDefault="00997BF4">
      <w:pPr>
        <w:rPr>
          <w:rFonts w:ascii="Verdana" w:hAnsi="Verdana" w:cs="Arial"/>
          <w:sz w:val="20"/>
          <w:highlight w:val="yellow"/>
          <w:lang w:eastAsia="en-GB"/>
        </w:rPr>
      </w:pPr>
      <w:bookmarkStart w:name="XMETag_2d97c82c50de49588c746aa9b513c305" w:id="40"/>
      <w:r w:rsidRPr="00D24232">
        <w:rPr>
          <w:rFonts w:ascii="Verdana" w:hAnsi="Verdana" w:cs="Arial"/>
          <w:sz w:val="20"/>
          <w:highlight w:val="yellow"/>
          <w:lang w:eastAsia="en-GB"/>
        </w:rPr>
        <w:t>We have audited the financial statements of Tower Hamlets Homes Limited for the year ended 31 March 201</w:t>
      </w:r>
      <w:r w:rsidRPr="00D24232" w:rsidR="00225367">
        <w:rPr>
          <w:rFonts w:ascii="Verdana" w:hAnsi="Verdana" w:cs="Arial"/>
          <w:sz w:val="20"/>
          <w:highlight w:val="yellow"/>
          <w:lang w:eastAsia="en-GB"/>
        </w:rPr>
        <w:t>8</w:t>
      </w:r>
      <w:r w:rsidRPr="00D24232">
        <w:rPr>
          <w:rFonts w:ascii="Verdana" w:hAnsi="Verdana" w:cs="Arial"/>
          <w:sz w:val="20"/>
          <w:highlight w:val="yellow"/>
          <w:lang w:eastAsia="en-GB"/>
        </w:rPr>
        <w:t xml:space="preserve"> as set out on pages </w:t>
      </w:r>
      <w:r w:rsidRPr="00D24232" w:rsidR="003049C1">
        <w:rPr>
          <w:rFonts w:ascii="Verdana" w:hAnsi="Verdana" w:cs="Arial"/>
          <w:sz w:val="20"/>
          <w:highlight w:val="yellow"/>
          <w:lang w:eastAsia="en-GB"/>
        </w:rPr>
        <w:t>14 to 29</w:t>
      </w:r>
      <w:r w:rsidRPr="00D24232">
        <w:rPr>
          <w:rFonts w:ascii="Verdana" w:hAnsi="Verdana" w:cs="Arial"/>
          <w:sz w:val="20"/>
          <w:highlight w:val="yellow"/>
          <w:lang w:eastAsia="en-GB"/>
        </w:rPr>
        <w:t xml:space="preserve">. The financial reporting framework that has been applied in their preparation is applicable law and UK Accounting Standards (UK Generally Accepted Accounting Practice), FRS 102 The Financial Reporting Standard applicable in the UK and Republic of Ireland. </w:t>
      </w:r>
    </w:p>
    <w:p w:rsidRPr="00D24232" w:rsidR="00997BF4" w:rsidP="00997BF4" w:rsidRDefault="00997BF4">
      <w:pPr>
        <w:rPr>
          <w:rFonts w:ascii="Verdana" w:hAnsi="Verdana" w:cs="Arial"/>
          <w:sz w:val="20"/>
          <w:highlight w:val="yellow"/>
          <w:lang w:eastAsia="en-GB"/>
        </w:rPr>
      </w:pPr>
    </w:p>
    <w:p w:rsidRPr="00D24232" w:rsidR="00997BF4" w:rsidP="00997BF4" w:rsidRDefault="00997BF4">
      <w:pPr>
        <w:rPr>
          <w:rFonts w:ascii="Verdana" w:hAnsi="Verdana" w:cs="Arial"/>
          <w:sz w:val="20"/>
          <w:highlight w:val="yellow"/>
          <w:lang w:eastAsia="en-GB"/>
        </w:rPr>
      </w:pPr>
      <w:r w:rsidRPr="00D24232">
        <w:rPr>
          <w:rFonts w:ascii="Verdana" w:hAnsi="Verdana" w:cs="Arial"/>
          <w:sz w:val="20"/>
          <w:highlight w:val="yellow"/>
          <w:lang w:eastAsia="en-GB"/>
        </w:rPr>
        <w:t>This report is made solely to the company's members, as a body, in accordance with Chapter 3 of Part 16 of the Companies Act 2006. Our audit work has been undertaken so that we might state to the company's members those matters we are required to state to them in an auditor's report and for no other purpose. To the fullest extent permitted by law, we do not accept or assume responsibility to anyone other than the company and the company's members, as a body, for our audit work, for this report, or for the opinions we have formed.</w:t>
      </w:r>
    </w:p>
    <w:p w:rsidRPr="00D24232" w:rsidR="00997BF4" w:rsidP="00997BF4" w:rsidRDefault="00997BF4">
      <w:pPr>
        <w:rPr>
          <w:rFonts w:ascii="Verdana" w:hAnsi="Verdana" w:cs="Arial"/>
          <w:sz w:val="20"/>
          <w:highlight w:val="yellow"/>
          <w:lang w:eastAsia="en-GB"/>
        </w:rPr>
      </w:pPr>
    </w:p>
    <w:bookmarkEnd w:id="40"/>
    <w:p w:rsidRPr="00D24232" w:rsidR="00997BF4" w:rsidP="00997BF4" w:rsidRDefault="00997BF4">
      <w:pPr>
        <w:rPr>
          <w:rFonts w:ascii="Verdana" w:hAnsi="Verdana" w:cs="Arial"/>
          <w:b/>
          <w:sz w:val="20"/>
          <w:highlight w:val="yellow"/>
          <w:lang w:eastAsia="en-GB"/>
        </w:rPr>
      </w:pPr>
      <w:r w:rsidRPr="00D24232">
        <w:rPr>
          <w:rFonts w:ascii="Verdana" w:hAnsi="Verdana" w:cs="Arial"/>
          <w:b/>
          <w:sz w:val="20"/>
          <w:highlight w:val="yellow"/>
          <w:lang w:eastAsia="en-GB"/>
        </w:rPr>
        <w:t>Respective responsibilities of directors and auditor</w:t>
      </w:r>
    </w:p>
    <w:p w:rsidRPr="00D24232" w:rsidR="00997BF4" w:rsidP="00997BF4" w:rsidRDefault="00997BF4">
      <w:pPr>
        <w:rPr>
          <w:rFonts w:ascii="Verdana" w:hAnsi="Verdana" w:cs="Arial"/>
          <w:sz w:val="20"/>
          <w:highlight w:val="yellow"/>
          <w:lang w:eastAsia="en-GB"/>
        </w:rPr>
      </w:pPr>
    </w:p>
    <w:p w:rsidRPr="00D24232" w:rsidR="00997BF4" w:rsidP="00997BF4" w:rsidRDefault="00997BF4">
      <w:pPr>
        <w:rPr>
          <w:rFonts w:ascii="Verdana" w:hAnsi="Verdana" w:cs="Arial"/>
          <w:sz w:val="20"/>
          <w:highlight w:val="yellow"/>
          <w:lang w:eastAsia="en-GB"/>
        </w:rPr>
      </w:pPr>
      <w:bookmarkStart w:name="XMETag_ed74638d557f4153812acaff799655be" w:id="41"/>
      <w:r w:rsidRPr="00D24232">
        <w:rPr>
          <w:rFonts w:ascii="Verdana" w:hAnsi="Verdana" w:cs="Arial"/>
          <w:sz w:val="20"/>
          <w:highlight w:val="yellow"/>
          <w:lang w:eastAsia="en-GB"/>
        </w:rPr>
        <w:t>As explained more fully in the Directors' Responsibilities Statement set out on</w:t>
      </w:r>
      <w:r w:rsidRPr="00D24232">
        <w:rPr>
          <w:rFonts w:ascii="Verdana" w:hAnsi="Verdana" w:cs="Arial"/>
          <w:color w:val="FF0000"/>
          <w:sz w:val="20"/>
          <w:highlight w:val="yellow"/>
          <w:lang w:eastAsia="en-GB"/>
        </w:rPr>
        <w:t xml:space="preserve"> </w:t>
      </w:r>
      <w:r w:rsidRPr="00D24232">
        <w:rPr>
          <w:rFonts w:ascii="Verdana" w:hAnsi="Verdana" w:cs="Arial"/>
          <w:sz w:val="20"/>
          <w:highlight w:val="yellow"/>
          <w:lang w:eastAsia="en-GB"/>
        </w:rPr>
        <w:t xml:space="preserve">page </w:t>
      </w:r>
      <w:r w:rsidRPr="00D24232" w:rsidR="003049C1">
        <w:rPr>
          <w:rFonts w:ascii="Verdana" w:hAnsi="Verdana" w:cs="Arial"/>
          <w:sz w:val="20"/>
          <w:highlight w:val="yellow"/>
          <w:lang w:eastAsia="en-GB"/>
        </w:rPr>
        <w:t>11</w:t>
      </w:r>
      <w:r w:rsidRPr="00D24232">
        <w:rPr>
          <w:rFonts w:ascii="Verdana" w:hAnsi="Verdana" w:cs="Arial"/>
          <w:sz w:val="20"/>
          <w:highlight w:val="yellow"/>
          <w:lang w:eastAsia="en-GB"/>
        </w:rPr>
        <w:t xml:space="preserve"> the directors are responsible for the preparation of the financial statements and for being satisfied that they give a true and fair view. Our responsibility is to audit, and express an opinion on, the financial statements in accordance with applicable law and International Standards on Auditing (UK and Ireland). Those standards require us to comply with the Auditing Practices Board's Ethical Standards for Auditors.</w:t>
      </w:r>
    </w:p>
    <w:bookmarkEnd w:id="41"/>
    <w:p w:rsidRPr="00D24232" w:rsidR="00997BF4" w:rsidP="00997BF4" w:rsidRDefault="00997BF4">
      <w:pPr>
        <w:rPr>
          <w:rFonts w:ascii="Verdana" w:hAnsi="Verdana" w:cs="Arial"/>
          <w:sz w:val="20"/>
          <w:highlight w:val="yellow"/>
          <w:lang w:eastAsia="en-GB"/>
        </w:rPr>
      </w:pPr>
    </w:p>
    <w:p w:rsidRPr="00D24232" w:rsidR="00997BF4" w:rsidP="00997BF4" w:rsidRDefault="00997BF4">
      <w:pPr>
        <w:rPr>
          <w:rFonts w:ascii="Verdana" w:hAnsi="Verdana" w:cs="Arial"/>
          <w:b/>
          <w:sz w:val="20"/>
          <w:highlight w:val="yellow"/>
          <w:lang w:eastAsia="en-GB"/>
        </w:rPr>
      </w:pPr>
      <w:r w:rsidRPr="00D24232">
        <w:rPr>
          <w:rFonts w:ascii="Verdana" w:hAnsi="Verdana" w:cs="Arial"/>
          <w:b/>
          <w:sz w:val="20"/>
          <w:highlight w:val="yellow"/>
          <w:lang w:eastAsia="en-GB"/>
        </w:rPr>
        <w:t>Scope of the audit of the financial statements</w:t>
      </w:r>
    </w:p>
    <w:p w:rsidRPr="00D24232" w:rsidR="00997BF4" w:rsidP="00997BF4" w:rsidRDefault="00997BF4">
      <w:pPr>
        <w:rPr>
          <w:rFonts w:ascii="Verdana" w:hAnsi="Verdana" w:cs="Arial"/>
          <w:sz w:val="20"/>
          <w:highlight w:val="yellow"/>
          <w:lang w:eastAsia="en-GB"/>
        </w:rPr>
      </w:pPr>
    </w:p>
    <w:p w:rsidRPr="00D24232" w:rsidR="00997BF4" w:rsidP="00997BF4" w:rsidRDefault="00997BF4">
      <w:pPr>
        <w:rPr>
          <w:rFonts w:ascii="Verdana" w:hAnsi="Verdana" w:cs="Arial"/>
          <w:sz w:val="20"/>
          <w:highlight w:val="yellow"/>
          <w:lang w:eastAsia="en-GB"/>
        </w:rPr>
      </w:pPr>
      <w:bookmarkStart w:name="XMETag_3af3e77e1b9f4c71b208a649036dfc0e" w:id="42"/>
      <w:r w:rsidRPr="00D24232">
        <w:rPr>
          <w:rFonts w:ascii="Verdana" w:hAnsi="Verdana" w:cs="Arial"/>
          <w:sz w:val="20"/>
          <w:highlight w:val="yellow"/>
          <w:lang w:eastAsia="en-GB"/>
        </w:rPr>
        <w:t xml:space="preserve">A description of the scope of an audit of financial statements is provided on the Financial Reporting Council’s website at-  </w:t>
      </w:r>
      <w:hyperlink w:history="1" r:id="rId16">
        <w:r w:rsidRPr="00D24232">
          <w:rPr>
            <w:rStyle w:val="Hyperlink"/>
            <w:rFonts w:ascii="Verdana" w:hAnsi="Verdana" w:cs="Arial"/>
            <w:sz w:val="20"/>
            <w:highlight w:val="yellow"/>
            <w:lang w:eastAsia="en-GB"/>
          </w:rPr>
          <w:t>www.frc.org.uk/auditscopeukprivate</w:t>
        </w:r>
      </w:hyperlink>
      <w:r w:rsidRPr="00D24232">
        <w:rPr>
          <w:rFonts w:ascii="Verdana" w:hAnsi="Verdana" w:cs="Arial"/>
          <w:sz w:val="20"/>
          <w:highlight w:val="yellow"/>
          <w:lang w:eastAsia="en-GB"/>
        </w:rPr>
        <w:t xml:space="preserve"> </w:t>
      </w:r>
    </w:p>
    <w:bookmarkEnd w:id="42"/>
    <w:p w:rsidRPr="00D24232" w:rsidR="00997BF4" w:rsidP="00997BF4" w:rsidRDefault="00997BF4">
      <w:pPr>
        <w:rPr>
          <w:rFonts w:ascii="Verdana" w:hAnsi="Verdana" w:cs="Arial"/>
          <w:sz w:val="20"/>
          <w:highlight w:val="yellow"/>
          <w:lang w:eastAsia="en-GB"/>
        </w:rPr>
      </w:pPr>
    </w:p>
    <w:p w:rsidRPr="00D24232" w:rsidR="00997BF4" w:rsidP="00997BF4" w:rsidRDefault="00997BF4">
      <w:pPr>
        <w:rPr>
          <w:rFonts w:ascii="Verdana" w:hAnsi="Verdana" w:cs="Arial"/>
          <w:b/>
          <w:sz w:val="20"/>
          <w:highlight w:val="yellow"/>
          <w:lang w:eastAsia="en-GB"/>
        </w:rPr>
      </w:pPr>
      <w:r w:rsidRPr="00D24232">
        <w:rPr>
          <w:rFonts w:ascii="Verdana" w:hAnsi="Verdana" w:cs="Arial"/>
          <w:b/>
          <w:sz w:val="20"/>
          <w:highlight w:val="yellow"/>
          <w:lang w:eastAsia="en-GB"/>
        </w:rPr>
        <w:t>Opinion on financial statements</w:t>
      </w:r>
    </w:p>
    <w:p w:rsidRPr="00D24232" w:rsidR="00997BF4" w:rsidP="00997BF4" w:rsidRDefault="00997BF4">
      <w:pPr>
        <w:rPr>
          <w:rFonts w:ascii="Verdana" w:hAnsi="Verdana" w:cs="Arial"/>
          <w:sz w:val="20"/>
          <w:highlight w:val="yellow"/>
          <w:lang w:eastAsia="en-GB"/>
        </w:rPr>
      </w:pPr>
    </w:p>
    <w:p w:rsidRPr="00D24232" w:rsidR="00997BF4" w:rsidP="00997BF4" w:rsidRDefault="00997BF4">
      <w:pPr>
        <w:rPr>
          <w:rFonts w:ascii="Verdana" w:hAnsi="Verdana" w:cs="Arial"/>
          <w:sz w:val="20"/>
          <w:highlight w:val="yellow"/>
          <w:lang w:eastAsia="en-GB"/>
        </w:rPr>
      </w:pPr>
      <w:bookmarkStart w:name="XMETag_81a6c8fca3f043d2a7e9df0f6fbffb3e" w:id="43"/>
      <w:r w:rsidRPr="00D24232">
        <w:rPr>
          <w:rFonts w:ascii="Verdana" w:hAnsi="Verdana" w:cs="Arial"/>
          <w:sz w:val="20"/>
          <w:highlight w:val="yellow"/>
          <w:lang w:eastAsia="en-GB"/>
        </w:rPr>
        <w:t xml:space="preserve">In our opinion the financial statements: </w:t>
      </w:r>
    </w:p>
    <w:p w:rsidRPr="00D24232" w:rsidR="00997BF4" w:rsidP="00997BF4" w:rsidRDefault="00997BF4">
      <w:pPr>
        <w:rPr>
          <w:rFonts w:ascii="Verdana" w:hAnsi="Verdana" w:cs="Arial"/>
          <w:sz w:val="20"/>
          <w:highlight w:val="yellow"/>
          <w:lang w:eastAsia="en-GB"/>
        </w:rPr>
      </w:pPr>
    </w:p>
    <w:p w:rsidRPr="00D24232" w:rsidR="00997BF4" w:rsidP="00997BF4" w:rsidRDefault="00997BF4">
      <w:pPr>
        <w:numPr>
          <w:ilvl w:val="0"/>
          <w:numId w:val="18"/>
        </w:numPr>
        <w:overflowPunct/>
        <w:jc w:val="left"/>
        <w:textAlignment w:val="auto"/>
        <w:rPr>
          <w:rFonts w:ascii="Verdana" w:hAnsi="Verdana" w:cs="Arial"/>
          <w:sz w:val="20"/>
          <w:highlight w:val="yellow"/>
          <w:lang w:eastAsia="en-GB"/>
        </w:rPr>
      </w:pPr>
      <w:r w:rsidRPr="00D24232">
        <w:rPr>
          <w:rFonts w:ascii="Verdana" w:hAnsi="Verdana" w:cs="Arial"/>
          <w:sz w:val="20"/>
          <w:highlight w:val="yellow"/>
          <w:lang w:eastAsia="en-GB"/>
        </w:rPr>
        <w:t>give a true and fair view of the state of the company's affairs as at 31 March 201</w:t>
      </w:r>
      <w:r w:rsidRPr="00D24232" w:rsidR="00225367">
        <w:rPr>
          <w:rFonts w:ascii="Verdana" w:hAnsi="Verdana" w:cs="Arial"/>
          <w:sz w:val="20"/>
          <w:highlight w:val="yellow"/>
          <w:lang w:eastAsia="en-GB"/>
        </w:rPr>
        <w:t>8</w:t>
      </w:r>
      <w:r w:rsidRPr="00D24232">
        <w:rPr>
          <w:rFonts w:ascii="Verdana" w:hAnsi="Verdana" w:cs="Arial"/>
          <w:sz w:val="20"/>
          <w:highlight w:val="yellow"/>
          <w:lang w:eastAsia="en-GB"/>
        </w:rPr>
        <w:t xml:space="preserve"> and of its profit for the year then ended; </w:t>
      </w:r>
    </w:p>
    <w:p w:rsidRPr="00D24232" w:rsidR="00997BF4" w:rsidP="00997BF4" w:rsidRDefault="00997BF4">
      <w:pPr>
        <w:numPr>
          <w:ilvl w:val="0"/>
          <w:numId w:val="18"/>
        </w:numPr>
        <w:overflowPunct/>
        <w:jc w:val="left"/>
        <w:textAlignment w:val="auto"/>
        <w:rPr>
          <w:rFonts w:ascii="Verdana" w:hAnsi="Verdana" w:cs="Arial"/>
          <w:sz w:val="20"/>
          <w:highlight w:val="yellow"/>
          <w:lang w:eastAsia="en-GB"/>
        </w:rPr>
      </w:pPr>
      <w:r w:rsidRPr="00D24232">
        <w:rPr>
          <w:rFonts w:ascii="Verdana" w:hAnsi="Verdana" w:cs="Arial"/>
          <w:sz w:val="20"/>
          <w:highlight w:val="yellow"/>
          <w:lang w:eastAsia="en-GB"/>
        </w:rPr>
        <w:t>have been properly prepared in accordance with UK Generally Accepted Accounting Practice; and</w:t>
      </w:r>
    </w:p>
    <w:p w:rsidRPr="00D24232" w:rsidR="00997BF4" w:rsidP="00997BF4" w:rsidRDefault="00997BF4">
      <w:pPr>
        <w:numPr>
          <w:ilvl w:val="0"/>
          <w:numId w:val="18"/>
        </w:numPr>
        <w:overflowPunct/>
        <w:jc w:val="left"/>
        <w:textAlignment w:val="auto"/>
        <w:rPr>
          <w:rFonts w:ascii="Verdana" w:hAnsi="Verdana" w:cs="Arial"/>
          <w:sz w:val="20"/>
          <w:highlight w:val="yellow"/>
          <w:lang w:eastAsia="en-GB"/>
        </w:rPr>
      </w:pPr>
      <w:r w:rsidRPr="00D24232">
        <w:rPr>
          <w:rFonts w:ascii="Verdana" w:hAnsi="Verdana" w:cs="Arial"/>
          <w:sz w:val="20"/>
          <w:highlight w:val="yellow"/>
          <w:lang w:eastAsia="en-GB"/>
        </w:rPr>
        <w:t>have been prepared in accordance with the requirements of the Companies Act 2006.</w:t>
      </w:r>
    </w:p>
    <w:bookmarkEnd w:id="43"/>
    <w:p w:rsidRPr="00D24232" w:rsidR="00997BF4" w:rsidP="00997BF4" w:rsidRDefault="00997BF4">
      <w:pPr>
        <w:rPr>
          <w:rFonts w:ascii="Verdana" w:hAnsi="Verdana" w:cs="Arial"/>
          <w:sz w:val="20"/>
          <w:highlight w:val="yellow"/>
          <w:lang w:eastAsia="en-GB"/>
        </w:rPr>
      </w:pPr>
    </w:p>
    <w:p w:rsidRPr="00D24232" w:rsidR="00997BF4" w:rsidP="00997BF4" w:rsidRDefault="00997BF4">
      <w:pPr>
        <w:rPr>
          <w:rFonts w:ascii="Verdana" w:hAnsi="Verdana" w:cs="Arial"/>
          <w:b/>
          <w:sz w:val="20"/>
          <w:highlight w:val="yellow"/>
          <w:lang w:eastAsia="en-GB"/>
        </w:rPr>
      </w:pPr>
      <w:r w:rsidRPr="00D24232">
        <w:rPr>
          <w:rFonts w:ascii="Verdana" w:hAnsi="Verdana" w:cs="Arial"/>
          <w:b/>
          <w:sz w:val="20"/>
          <w:highlight w:val="yellow"/>
          <w:lang w:eastAsia="en-GB"/>
        </w:rPr>
        <w:t xml:space="preserve">Opinion on other matters prescribed by the Companies Act 2006. </w:t>
      </w:r>
    </w:p>
    <w:p w:rsidRPr="00D24232" w:rsidR="00997BF4" w:rsidP="00997BF4" w:rsidRDefault="00997BF4">
      <w:pPr>
        <w:rPr>
          <w:rFonts w:ascii="Verdana" w:hAnsi="Verdana" w:cs="Arial"/>
          <w:sz w:val="20"/>
          <w:highlight w:val="yellow"/>
          <w:lang w:eastAsia="en-GB"/>
        </w:rPr>
      </w:pPr>
    </w:p>
    <w:p w:rsidRPr="00D24232" w:rsidR="00997BF4" w:rsidP="00997BF4" w:rsidRDefault="00997BF4">
      <w:pPr>
        <w:rPr>
          <w:rFonts w:ascii="Verdana" w:hAnsi="Verdana" w:cs="Arial"/>
          <w:sz w:val="20"/>
          <w:highlight w:val="yellow"/>
          <w:lang w:eastAsia="en-GB"/>
        </w:rPr>
      </w:pPr>
      <w:r w:rsidRPr="00D24232">
        <w:rPr>
          <w:rFonts w:ascii="Verdana" w:hAnsi="Verdana" w:cs="Arial"/>
          <w:sz w:val="20"/>
          <w:highlight w:val="yellow"/>
          <w:lang w:eastAsia="en-GB"/>
        </w:rPr>
        <w:t xml:space="preserve">In our opinion the information given in the Strategic Report and the Directors’ Report for the financial year is consistent with the financial statements. </w:t>
      </w:r>
    </w:p>
    <w:p w:rsidRPr="00D24232" w:rsidR="00997BF4" w:rsidP="00997BF4" w:rsidRDefault="00997BF4">
      <w:pPr>
        <w:rPr>
          <w:rFonts w:ascii="Verdana" w:hAnsi="Verdana" w:cs="Arial"/>
          <w:sz w:val="20"/>
          <w:highlight w:val="yellow"/>
          <w:lang w:eastAsia="en-GB"/>
        </w:rPr>
      </w:pPr>
    </w:p>
    <w:p w:rsidRPr="00D24232" w:rsidR="00997BF4" w:rsidP="00997BF4" w:rsidRDefault="00997BF4">
      <w:pPr>
        <w:rPr>
          <w:rFonts w:ascii="Verdana" w:hAnsi="Verdana" w:cs="Arial"/>
          <w:sz w:val="20"/>
          <w:highlight w:val="yellow"/>
          <w:lang w:eastAsia="en-GB"/>
        </w:rPr>
      </w:pPr>
      <w:r w:rsidRPr="00D24232">
        <w:rPr>
          <w:rFonts w:ascii="Verdana" w:hAnsi="Verdana" w:cs="Arial"/>
          <w:sz w:val="20"/>
          <w:highlight w:val="yellow"/>
          <w:lang w:eastAsia="en-GB"/>
        </w:rPr>
        <w:t>Based solely on the work required to be undertaken in the course of the audit of the financial statements and from reading the Strategic report and the Directors’ report:</w:t>
      </w:r>
    </w:p>
    <w:p w:rsidRPr="00D24232" w:rsidR="00A0703C" w:rsidP="00997BF4" w:rsidRDefault="00A0703C">
      <w:pPr>
        <w:rPr>
          <w:rFonts w:ascii="Verdana" w:hAnsi="Verdana" w:cs="Arial"/>
          <w:sz w:val="20"/>
          <w:highlight w:val="yellow"/>
          <w:lang w:eastAsia="en-GB"/>
        </w:rPr>
      </w:pPr>
    </w:p>
    <w:p w:rsidRPr="00D24232" w:rsidR="00997BF4" w:rsidP="00997BF4" w:rsidRDefault="00997BF4">
      <w:pPr>
        <w:pStyle w:val="Bullet"/>
        <w:numPr>
          <w:ilvl w:val="0"/>
          <w:numId w:val="19"/>
        </w:numPr>
        <w:tabs>
          <w:tab w:val="clear" w:pos="284"/>
        </w:tabs>
        <w:adjustRightInd/>
        <w:spacing w:before="0"/>
        <w:ind w:left="567" w:hanging="567"/>
        <w:rPr>
          <w:rFonts w:ascii="Verdana" w:hAnsi="Verdana" w:cs="Arial"/>
          <w:sz w:val="20"/>
          <w:highlight w:val="yellow"/>
          <w:lang w:eastAsia="en-GB"/>
        </w:rPr>
      </w:pPr>
      <w:r w:rsidRPr="00D24232">
        <w:rPr>
          <w:rFonts w:ascii="Verdana" w:hAnsi="Verdana" w:cs="Arial"/>
          <w:sz w:val="20"/>
          <w:highlight w:val="yellow"/>
          <w:lang w:eastAsia="en-GB"/>
        </w:rPr>
        <w:t xml:space="preserve">we have not identified material misstatements in those reports; and  </w:t>
      </w:r>
    </w:p>
    <w:p w:rsidRPr="00D24232" w:rsidR="00997BF4" w:rsidP="00A0703C" w:rsidRDefault="00A0703C">
      <w:pPr>
        <w:pStyle w:val="Bullet"/>
        <w:numPr>
          <w:ilvl w:val="0"/>
          <w:numId w:val="19"/>
        </w:numPr>
        <w:tabs>
          <w:tab w:val="clear" w:pos="284"/>
          <w:tab w:val="clear" w:pos="360"/>
        </w:tabs>
        <w:adjustRightInd/>
        <w:spacing w:before="0"/>
        <w:ind w:left="567" w:hanging="567"/>
        <w:rPr>
          <w:rFonts w:ascii="Verdana" w:hAnsi="Verdana" w:cs="Arial"/>
          <w:sz w:val="20"/>
          <w:highlight w:val="yellow"/>
          <w:lang w:eastAsia="en-GB"/>
        </w:rPr>
      </w:pPr>
      <w:r w:rsidRPr="00D24232">
        <w:rPr>
          <w:rFonts w:ascii="Verdana" w:hAnsi="Verdana" w:cs="Arial"/>
          <w:sz w:val="20"/>
          <w:highlight w:val="yellow"/>
          <w:lang w:eastAsia="en-GB"/>
        </w:rPr>
        <w:lastRenderedPageBreak/>
        <w:t>I</w:t>
      </w:r>
      <w:r w:rsidRPr="00D24232" w:rsidR="00997BF4">
        <w:rPr>
          <w:rFonts w:ascii="Verdana" w:hAnsi="Verdana" w:cs="Arial"/>
          <w:sz w:val="20"/>
          <w:highlight w:val="yellow"/>
          <w:lang w:eastAsia="en-GB"/>
        </w:rPr>
        <w:t>n our opinion, those reports have been prepared in accordance with the Companies Act 2006.</w:t>
      </w:r>
    </w:p>
    <w:p w:rsidRPr="00D24232" w:rsidR="00997BF4" w:rsidP="00997BF4" w:rsidRDefault="00997BF4">
      <w:pPr>
        <w:rPr>
          <w:rFonts w:ascii="Verdana" w:hAnsi="Verdana" w:cs="Arial"/>
          <w:b/>
          <w:sz w:val="20"/>
          <w:highlight w:val="yellow"/>
          <w:lang w:eastAsia="en-GB"/>
        </w:rPr>
      </w:pPr>
    </w:p>
    <w:p w:rsidRPr="00D24232" w:rsidR="00997BF4" w:rsidP="00997BF4" w:rsidRDefault="00997BF4">
      <w:pPr>
        <w:rPr>
          <w:rFonts w:ascii="Verdana" w:hAnsi="Verdana" w:cs="Arial"/>
          <w:b/>
          <w:sz w:val="20"/>
          <w:highlight w:val="yellow"/>
          <w:lang w:eastAsia="en-GB"/>
        </w:rPr>
      </w:pPr>
      <w:r w:rsidRPr="00D24232">
        <w:rPr>
          <w:rFonts w:ascii="Verdana" w:hAnsi="Verdana" w:cs="Arial"/>
          <w:b/>
          <w:sz w:val="20"/>
          <w:highlight w:val="yellow"/>
          <w:lang w:eastAsia="en-GB"/>
        </w:rPr>
        <w:t>Matters on which we are required to report by exception</w:t>
      </w:r>
    </w:p>
    <w:p w:rsidRPr="00D24232" w:rsidR="00997BF4" w:rsidP="00997BF4" w:rsidRDefault="00997BF4">
      <w:pPr>
        <w:rPr>
          <w:rFonts w:ascii="Verdana" w:hAnsi="Verdana" w:cs="Arial"/>
          <w:sz w:val="20"/>
          <w:highlight w:val="yellow"/>
          <w:lang w:eastAsia="en-GB"/>
        </w:rPr>
      </w:pPr>
    </w:p>
    <w:p w:rsidRPr="00D24232" w:rsidR="00997BF4" w:rsidP="00997BF4" w:rsidRDefault="00997BF4">
      <w:pPr>
        <w:rPr>
          <w:rFonts w:ascii="Verdana" w:hAnsi="Verdana" w:cs="Arial"/>
          <w:sz w:val="20"/>
          <w:highlight w:val="yellow"/>
          <w:lang w:eastAsia="en-GB"/>
        </w:rPr>
      </w:pPr>
      <w:r w:rsidRPr="00D24232">
        <w:rPr>
          <w:rFonts w:ascii="Verdana" w:hAnsi="Verdana" w:cs="Arial"/>
          <w:sz w:val="20"/>
          <w:highlight w:val="yellow"/>
          <w:lang w:eastAsia="en-GB"/>
        </w:rPr>
        <w:t>We have nothing to report in respect of the following matters where the Companies Act 2006 requires us to report to you if, in our opinion:</w:t>
      </w:r>
    </w:p>
    <w:p w:rsidRPr="00D24232" w:rsidR="00997BF4" w:rsidP="00997BF4" w:rsidRDefault="00997BF4">
      <w:pPr>
        <w:rPr>
          <w:rFonts w:ascii="Verdana" w:hAnsi="Verdana" w:cs="Arial"/>
          <w:sz w:val="20"/>
          <w:highlight w:val="yellow"/>
          <w:lang w:eastAsia="en-GB"/>
        </w:rPr>
      </w:pPr>
    </w:p>
    <w:p w:rsidRPr="00D24232" w:rsidR="00997BF4" w:rsidP="00997BF4" w:rsidRDefault="00997BF4">
      <w:pPr>
        <w:numPr>
          <w:ilvl w:val="0"/>
          <w:numId w:val="18"/>
        </w:numPr>
        <w:overflowPunct/>
        <w:jc w:val="left"/>
        <w:textAlignment w:val="auto"/>
        <w:rPr>
          <w:rFonts w:ascii="Verdana" w:hAnsi="Verdana" w:cs="Arial"/>
          <w:sz w:val="20"/>
          <w:highlight w:val="yellow"/>
          <w:lang w:eastAsia="en-GB"/>
        </w:rPr>
      </w:pPr>
      <w:r w:rsidRPr="00D24232">
        <w:rPr>
          <w:rFonts w:ascii="Verdana" w:hAnsi="Verdana" w:cs="Arial"/>
          <w:sz w:val="20"/>
          <w:highlight w:val="yellow"/>
          <w:lang w:eastAsia="en-GB"/>
        </w:rPr>
        <w:t>adequate accounting records have not been kept, or returns adequate for our audit have not been received from branches not visited by us; or</w:t>
      </w:r>
    </w:p>
    <w:p w:rsidRPr="00D24232" w:rsidR="00997BF4" w:rsidP="00997BF4" w:rsidRDefault="00997BF4">
      <w:pPr>
        <w:numPr>
          <w:ilvl w:val="0"/>
          <w:numId w:val="18"/>
        </w:numPr>
        <w:overflowPunct/>
        <w:jc w:val="left"/>
        <w:textAlignment w:val="auto"/>
        <w:rPr>
          <w:rFonts w:ascii="Verdana" w:hAnsi="Verdana" w:cs="Arial"/>
          <w:sz w:val="20"/>
          <w:highlight w:val="yellow"/>
          <w:lang w:eastAsia="en-GB"/>
        </w:rPr>
      </w:pPr>
      <w:r w:rsidRPr="00D24232">
        <w:rPr>
          <w:rFonts w:ascii="Verdana" w:hAnsi="Verdana" w:cs="Arial"/>
          <w:sz w:val="20"/>
          <w:highlight w:val="yellow"/>
          <w:lang w:eastAsia="en-GB"/>
        </w:rPr>
        <w:t>the financial statements are not in agreement with the accounting records and returns; or</w:t>
      </w:r>
    </w:p>
    <w:p w:rsidRPr="00D24232" w:rsidR="00997BF4" w:rsidP="00997BF4" w:rsidRDefault="00997BF4">
      <w:pPr>
        <w:numPr>
          <w:ilvl w:val="0"/>
          <w:numId w:val="18"/>
        </w:numPr>
        <w:overflowPunct/>
        <w:jc w:val="left"/>
        <w:textAlignment w:val="auto"/>
        <w:rPr>
          <w:rFonts w:ascii="Verdana" w:hAnsi="Verdana" w:cs="Arial"/>
          <w:sz w:val="20"/>
          <w:highlight w:val="yellow"/>
          <w:lang w:eastAsia="en-GB"/>
        </w:rPr>
      </w:pPr>
      <w:r w:rsidRPr="00D24232">
        <w:rPr>
          <w:rFonts w:ascii="Verdana" w:hAnsi="Verdana" w:cs="Arial"/>
          <w:sz w:val="20"/>
          <w:highlight w:val="yellow"/>
          <w:lang w:eastAsia="en-GB"/>
        </w:rPr>
        <w:t>certain disclosures of directors' remuneration specified by law are not made; or</w:t>
      </w:r>
    </w:p>
    <w:p w:rsidRPr="00D24232" w:rsidR="00997BF4" w:rsidP="00997BF4" w:rsidRDefault="00997BF4">
      <w:pPr>
        <w:numPr>
          <w:ilvl w:val="0"/>
          <w:numId w:val="18"/>
        </w:numPr>
        <w:overflowPunct/>
        <w:jc w:val="left"/>
        <w:textAlignment w:val="auto"/>
        <w:rPr>
          <w:rFonts w:ascii="Verdana" w:hAnsi="Verdana" w:cs="Arial"/>
          <w:sz w:val="20"/>
          <w:highlight w:val="yellow"/>
          <w:lang w:eastAsia="en-GB"/>
        </w:rPr>
      </w:pPr>
      <w:r w:rsidRPr="00D24232">
        <w:rPr>
          <w:rFonts w:ascii="Verdana" w:hAnsi="Verdana" w:cs="Arial"/>
          <w:sz w:val="20"/>
          <w:highlight w:val="yellow"/>
          <w:lang w:eastAsia="en-GB"/>
        </w:rPr>
        <w:t>we have not received all the information and explanations we require for our audit.</w:t>
      </w:r>
    </w:p>
    <w:p w:rsidRPr="00D24232" w:rsidR="00997BF4" w:rsidP="00997BF4" w:rsidRDefault="00997BF4">
      <w:pPr>
        <w:ind w:left="1134"/>
        <w:rPr>
          <w:rFonts w:ascii="Verdana" w:hAnsi="Verdana" w:cs="Arial"/>
          <w:sz w:val="20"/>
          <w:highlight w:val="yellow"/>
          <w:lang w:eastAsia="en-GB"/>
        </w:rPr>
      </w:pPr>
    </w:p>
    <w:p w:rsidRPr="00D24232" w:rsidR="000B4D27" w:rsidP="00997BF4" w:rsidRDefault="000B4D27">
      <w:pPr>
        <w:ind w:left="1134"/>
        <w:rPr>
          <w:rFonts w:ascii="Verdana" w:hAnsi="Verdana" w:cs="Arial"/>
          <w:sz w:val="20"/>
          <w:highlight w:val="yellow"/>
          <w:lang w:eastAsia="en-GB"/>
        </w:rPr>
      </w:pPr>
    </w:p>
    <w:p w:rsidRPr="00D24232" w:rsidR="000B4D27" w:rsidP="00997BF4" w:rsidRDefault="000B4D27">
      <w:pPr>
        <w:ind w:left="1134"/>
        <w:rPr>
          <w:rFonts w:ascii="Verdana" w:hAnsi="Verdana" w:cs="Arial"/>
          <w:sz w:val="20"/>
          <w:highlight w:val="yellow"/>
          <w:lang w:eastAsia="en-GB"/>
        </w:rPr>
      </w:pPr>
    </w:p>
    <w:p w:rsidRPr="00D24232" w:rsidR="000B4D27" w:rsidP="00997BF4" w:rsidRDefault="000B4D27">
      <w:pPr>
        <w:ind w:left="1134"/>
        <w:rPr>
          <w:rFonts w:ascii="Verdana" w:hAnsi="Verdana" w:cs="Arial"/>
          <w:sz w:val="20"/>
          <w:highlight w:val="yellow"/>
          <w:lang w:eastAsia="en-GB"/>
        </w:rPr>
      </w:pPr>
    </w:p>
    <w:p w:rsidRPr="00D24232" w:rsidR="000B4D27" w:rsidP="00997BF4" w:rsidRDefault="000B4D27">
      <w:pPr>
        <w:ind w:left="1134"/>
        <w:rPr>
          <w:rFonts w:ascii="Verdana" w:hAnsi="Verdana" w:cs="Arial"/>
          <w:sz w:val="20"/>
          <w:highlight w:val="yellow"/>
          <w:lang w:eastAsia="en-GB"/>
        </w:rPr>
      </w:pPr>
    </w:p>
    <w:p w:rsidRPr="00D24232" w:rsidR="00997BF4" w:rsidP="00997BF4" w:rsidRDefault="00997BF4">
      <w:pPr>
        <w:rPr>
          <w:rFonts w:ascii="Verdana" w:hAnsi="Verdana" w:cs="Arial"/>
          <w:sz w:val="20"/>
          <w:highlight w:val="yellow"/>
          <w:lang w:eastAsia="en-GB"/>
        </w:rPr>
      </w:pPr>
      <w:r w:rsidRPr="00D24232">
        <w:rPr>
          <w:rFonts w:ascii="Verdana" w:hAnsi="Verdana" w:cs="Arial"/>
          <w:sz w:val="20"/>
          <w:highlight w:val="yellow"/>
          <w:lang w:eastAsia="en-GB"/>
        </w:rPr>
        <w:tab/>
      </w:r>
      <w:r w:rsidRPr="00D24232">
        <w:rPr>
          <w:rFonts w:ascii="Verdana" w:hAnsi="Verdana" w:cs="Arial"/>
          <w:sz w:val="20"/>
          <w:highlight w:val="yellow"/>
          <w:lang w:eastAsia="en-GB"/>
        </w:rPr>
        <w:tab/>
        <w:t xml:space="preserve"> </w:t>
      </w:r>
    </w:p>
    <w:p w:rsidRPr="00D24232" w:rsidR="00997BF4" w:rsidP="00997BF4" w:rsidRDefault="00997BF4">
      <w:pPr>
        <w:ind w:right="-113"/>
        <w:rPr>
          <w:rFonts w:ascii="Verdana" w:hAnsi="Verdana" w:cs="Arial"/>
          <w:sz w:val="20"/>
          <w:highlight w:val="yellow"/>
          <w:lang w:eastAsia="en-GB"/>
        </w:rPr>
      </w:pPr>
      <w:r w:rsidRPr="00D24232">
        <w:rPr>
          <w:rFonts w:ascii="Verdana" w:hAnsi="Verdana" w:cs="Arial"/>
          <w:sz w:val="20"/>
          <w:highlight w:val="yellow"/>
          <w:lang w:eastAsia="en-GB"/>
        </w:rPr>
        <w:t>Harry Mears</w:t>
      </w:r>
    </w:p>
    <w:p w:rsidRPr="00D24232" w:rsidR="00997BF4" w:rsidP="00997BF4" w:rsidRDefault="00997BF4">
      <w:pPr>
        <w:ind w:right="-113"/>
        <w:rPr>
          <w:rFonts w:ascii="Verdana" w:hAnsi="Verdana" w:cs="Arial"/>
          <w:sz w:val="20"/>
          <w:highlight w:val="yellow"/>
          <w:lang w:eastAsia="en-GB"/>
        </w:rPr>
      </w:pPr>
      <w:r w:rsidRPr="00D24232">
        <w:rPr>
          <w:rFonts w:ascii="Verdana" w:hAnsi="Verdana" w:cs="Arial"/>
          <w:sz w:val="20"/>
          <w:highlight w:val="yellow"/>
          <w:lang w:eastAsia="en-GB"/>
        </w:rPr>
        <w:t>(Senior Statutory Auditor)</w:t>
      </w:r>
    </w:p>
    <w:p w:rsidRPr="00D24232" w:rsidR="00997BF4" w:rsidP="00997BF4" w:rsidRDefault="00997BF4">
      <w:pPr>
        <w:rPr>
          <w:rFonts w:ascii="Verdana" w:hAnsi="Verdana" w:cs="Arial"/>
          <w:sz w:val="20"/>
          <w:highlight w:val="yellow"/>
          <w:lang w:eastAsia="en-GB"/>
        </w:rPr>
      </w:pPr>
      <w:r w:rsidRPr="00D24232">
        <w:rPr>
          <w:rFonts w:ascii="Verdana" w:hAnsi="Verdana" w:cs="Arial"/>
          <w:sz w:val="20"/>
          <w:highlight w:val="yellow"/>
          <w:lang w:eastAsia="en-GB"/>
        </w:rPr>
        <w:t xml:space="preserve"> For and on behalf of KPMG LLP, Statutory Auditor</w:t>
      </w:r>
    </w:p>
    <w:p w:rsidRPr="00D24232" w:rsidR="00997BF4" w:rsidP="00997BF4" w:rsidRDefault="00997BF4">
      <w:pPr>
        <w:rPr>
          <w:rFonts w:ascii="Verdana" w:hAnsi="Verdana" w:cs="Arial"/>
          <w:sz w:val="20"/>
          <w:highlight w:val="yellow"/>
          <w:lang w:eastAsia="en-GB"/>
        </w:rPr>
      </w:pPr>
      <w:bookmarkStart w:name="XMETag_6357645fd69047d79601780c6ad71475" w:id="44"/>
      <w:r w:rsidRPr="00D24232">
        <w:rPr>
          <w:rFonts w:ascii="Verdana" w:hAnsi="Verdana" w:cs="Arial"/>
          <w:sz w:val="20"/>
          <w:highlight w:val="yellow"/>
          <w:lang w:eastAsia="en-GB"/>
        </w:rPr>
        <w:t xml:space="preserve"> Chartered Accountants</w:t>
      </w:r>
    </w:p>
    <w:bookmarkEnd w:id="44"/>
    <w:p w:rsidRPr="00D24232" w:rsidR="00997BF4" w:rsidP="00997BF4" w:rsidRDefault="00997BF4">
      <w:pPr>
        <w:rPr>
          <w:rFonts w:ascii="Verdana" w:hAnsi="Verdana" w:cs="Arial"/>
          <w:sz w:val="20"/>
          <w:highlight w:val="yellow"/>
          <w:lang w:eastAsia="en-GB"/>
        </w:rPr>
      </w:pPr>
      <w:r w:rsidRPr="00D24232">
        <w:rPr>
          <w:rFonts w:ascii="Verdana" w:hAnsi="Verdana" w:cs="Arial"/>
          <w:sz w:val="20"/>
          <w:highlight w:val="yellow"/>
          <w:lang w:eastAsia="en-GB"/>
        </w:rPr>
        <w:t xml:space="preserve"> 15 Canada Square</w:t>
      </w:r>
    </w:p>
    <w:p w:rsidRPr="00D24232" w:rsidR="00997BF4" w:rsidP="00997BF4" w:rsidRDefault="00997BF4">
      <w:pPr>
        <w:rPr>
          <w:rFonts w:ascii="Verdana" w:hAnsi="Verdana" w:cs="Arial"/>
          <w:sz w:val="20"/>
          <w:highlight w:val="yellow"/>
          <w:lang w:eastAsia="en-GB"/>
        </w:rPr>
      </w:pPr>
      <w:r w:rsidRPr="00D24232">
        <w:rPr>
          <w:rFonts w:ascii="Verdana" w:hAnsi="Verdana" w:cs="Arial"/>
          <w:sz w:val="20"/>
          <w:highlight w:val="yellow"/>
          <w:lang w:eastAsia="en-GB"/>
        </w:rPr>
        <w:t xml:space="preserve"> Canary Wharf</w:t>
      </w:r>
    </w:p>
    <w:p w:rsidRPr="00D24232" w:rsidR="00997BF4" w:rsidP="00997BF4" w:rsidRDefault="00997BF4">
      <w:pPr>
        <w:rPr>
          <w:rFonts w:ascii="Verdana" w:hAnsi="Verdana" w:cs="Arial"/>
          <w:sz w:val="20"/>
          <w:highlight w:val="yellow"/>
          <w:lang w:eastAsia="en-GB"/>
        </w:rPr>
      </w:pPr>
      <w:bookmarkStart w:name="XMETag_443f1ccbc7f5433fb4f7a2216f474535" w:id="45"/>
      <w:r w:rsidRPr="00D24232">
        <w:rPr>
          <w:rFonts w:ascii="Verdana" w:hAnsi="Verdana" w:cs="Arial"/>
          <w:sz w:val="20"/>
          <w:highlight w:val="yellow"/>
          <w:lang w:eastAsia="en-GB"/>
        </w:rPr>
        <w:t xml:space="preserve"> London</w:t>
      </w:r>
    </w:p>
    <w:bookmarkEnd w:id="45"/>
    <w:p w:rsidRPr="00997BF4" w:rsidR="00997BF4" w:rsidP="00997BF4" w:rsidRDefault="00997BF4">
      <w:pPr>
        <w:rPr>
          <w:rFonts w:ascii="Verdana" w:hAnsi="Verdana" w:cs="Arial"/>
          <w:sz w:val="20"/>
          <w:lang w:eastAsia="en-GB"/>
        </w:rPr>
      </w:pPr>
      <w:r w:rsidRPr="00D24232">
        <w:rPr>
          <w:rFonts w:ascii="Verdana" w:hAnsi="Verdana" w:cs="Arial"/>
          <w:sz w:val="20"/>
          <w:highlight w:val="yellow"/>
          <w:lang w:eastAsia="en-GB"/>
        </w:rPr>
        <w:t xml:space="preserve"> E14 5GL</w:t>
      </w:r>
    </w:p>
    <w:p w:rsidRPr="00FC719F" w:rsidR="00BA3BAC" w:rsidP="00997BF4" w:rsidRDefault="00BA3BAC">
      <w:pPr>
        <w:pStyle w:val="Text"/>
        <w:spacing w:after="120"/>
        <w:rPr>
          <w:rFonts w:ascii="Arial" w:hAnsi="Arial" w:cs="Arial"/>
        </w:rPr>
        <w:sectPr w:rsidRPr="00FC719F" w:rsidR="00BA3BAC" w:rsidSect="00121B7C">
          <w:headerReference w:type="first" r:id="rId17"/>
          <w:type w:val="continuous"/>
          <w:pgSz w:w="11907" w:h="16840" w:code="9"/>
          <w:pgMar w:top="851" w:right="1134" w:bottom="2756" w:left="1276" w:header="720" w:footer="1035" w:gutter="0"/>
          <w:cols w:space="720"/>
        </w:sectPr>
      </w:pPr>
    </w:p>
    <w:p w:rsidRPr="0040381B" w:rsidR="00914B6E" w:rsidP="00914B6E" w:rsidRDefault="00475708">
      <w:pPr>
        <w:pStyle w:val="ACSectionTOCHeading"/>
        <w:rPr>
          <w:rFonts w:ascii="Verdana" w:hAnsi="Verdana" w:cs="Arial"/>
        </w:rPr>
      </w:pPr>
      <w:bookmarkStart w:name="_Toc360004345" w:id="46"/>
      <w:bookmarkStart w:name="_Toc372451429" w:id="47"/>
      <w:bookmarkStart w:name="_Toc372714800" w:id="48"/>
      <w:bookmarkStart w:name="_Toc373827138" w:id="49"/>
      <w:bookmarkStart w:name="_Toc374516814" w:id="50"/>
      <w:bookmarkStart w:name="_Toc379084156" w:id="51"/>
      <w:bookmarkStart w:name="_Toc379084662" w:id="52"/>
      <w:bookmarkStart w:name="_Toc379288015" w:id="53"/>
      <w:bookmarkStart w:name="_Toc379340739" w:id="54"/>
      <w:bookmarkStart w:name="_Toc379431135" w:id="55"/>
      <w:bookmarkStart w:name="_Toc386095956" w:id="56"/>
      <w:bookmarkStart w:name="_Toc386274263" w:id="57"/>
      <w:bookmarkStart w:name="_Toc457718235" w:id="58"/>
      <w:bookmarkStart w:name="_Toc533480459" w:id="59"/>
      <w:r>
        <w:rPr>
          <w:rFonts w:ascii="Verdana" w:hAnsi="Verdana" w:cs="Arial"/>
        </w:rPr>
        <w:lastRenderedPageBreak/>
        <w:br w:type="page"/>
      </w:r>
      <w:r w:rsidRPr="0040381B" w:rsidR="00523C5F">
        <w:rPr>
          <w:rFonts w:ascii="Verdana" w:hAnsi="Verdana" w:cs="Arial"/>
        </w:rPr>
        <w:lastRenderedPageBreak/>
        <w:t>Statement of Comprehensive</w:t>
      </w:r>
      <w:r w:rsidRPr="0040381B" w:rsidR="00015BF9">
        <w:rPr>
          <w:rFonts w:ascii="Verdana" w:hAnsi="Verdana" w:cs="Arial"/>
        </w:rPr>
        <w:t xml:space="preserve"> Income</w:t>
      </w:r>
    </w:p>
    <w:p w:rsidRPr="0040381B" w:rsidR="00914B6E" w:rsidP="00914B6E" w:rsidRDefault="00912ECE">
      <w:pPr>
        <w:pStyle w:val="ACSub-head"/>
        <w:rPr>
          <w:rFonts w:ascii="Verdana" w:hAnsi="Verdana" w:cs="Arial"/>
          <w:i w:val="0"/>
        </w:rPr>
      </w:pPr>
      <w:r w:rsidRPr="0040381B">
        <w:rPr>
          <w:rFonts w:ascii="Verdana" w:hAnsi="Verdana" w:cs="Arial"/>
          <w:i w:val="0"/>
        </w:rPr>
        <w:t>F</w:t>
      </w:r>
      <w:r w:rsidRPr="0040381B" w:rsidR="00914B6E">
        <w:rPr>
          <w:rFonts w:ascii="Verdana" w:hAnsi="Verdana" w:cs="Arial"/>
          <w:i w:val="0"/>
        </w:rPr>
        <w:t>or the year ended 31 March 201</w:t>
      </w:r>
      <w:r w:rsidR="00AB1242">
        <w:rPr>
          <w:rFonts w:ascii="Verdana" w:hAnsi="Verdana" w:cs="Arial"/>
          <w:i w:val="0"/>
        </w:rPr>
        <w:t>8</w:t>
      </w:r>
    </w:p>
    <w:bookmarkEnd w:id="46"/>
    <w:bookmarkEnd w:id="47"/>
    <w:bookmarkEnd w:id="48"/>
    <w:bookmarkEnd w:id="49"/>
    <w:bookmarkEnd w:id="50"/>
    <w:bookmarkEnd w:id="51"/>
    <w:bookmarkEnd w:id="52"/>
    <w:bookmarkEnd w:id="53"/>
    <w:bookmarkEnd w:id="54"/>
    <w:bookmarkEnd w:id="55"/>
    <w:bookmarkEnd w:id="56"/>
    <w:bookmarkEnd w:id="57"/>
    <w:bookmarkEnd w:id="58"/>
    <w:bookmarkEnd w:id="59"/>
    <w:p w:rsidRPr="008B41ED" w:rsidR="0043359A" w:rsidP="00F6440B" w:rsidRDefault="0043359A">
      <w:pPr>
        <w:ind w:right="85"/>
        <w:jc w:val="left"/>
        <w:rPr>
          <w:rFonts w:ascii="Verdana" w:hAnsi="Verdana" w:cs="Arial"/>
          <w:sz w:val="20"/>
          <w:highlight w:val="yellow"/>
        </w:rPr>
      </w:pPr>
    </w:p>
    <w:tbl>
      <w:tblPr>
        <w:tblW w:w="9498" w:type="dxa"/>
        <w:tblInd w:w="108" w:type="dxa"/>
        <w:tblLayout w:type="fixed"/>
        <w:tblLook w:val="04A0" w:firstRow="1" w:lastRow="0" w:firstColumn="1" w:lastColumn="0" w:noHBand="0" w:noVBand="1"/>
      </w:tblPr>
      <w:tblGrid>
        <w:gridCol w:w="4820"/>
        <w:gridCol w:w="960"/>
        <w:gridCol w:w="236"/>
        <w:gridCol w:w="1561"/>
        <w:gridCol w:w="287"/>
        <w:gridCol w:w="1634"/>
      </w:tblGrid>
      <w:tr w:rsidRPr="0043359A" w:rsidR="0043359A" w:rsidTr="00BC2CBF">
        <w:trPr>
          <w:trHeight w:val="300"/>
        </w:trPr>
        <w:tc>
          <w:tcPr>
            <w:tcW w:w="4820" w:type="dxa"/>
            <w:tcBorders>
              <w:top w:val="nil"/>
              <w:left w:val="nil"/>
              <w:bottom w:val="nil"/>
              <w:right w:val="nil"/>
            </w:tcBorders>
            <w:shd w:val="clear" w:color="auto" w:fill="F2F2F2" w:themeFill="background1" w:themeFillShade="F2"/>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960" w:type="dxa"/>
            <w:tcBorders>
              <w:top w:val="nil"/>
              <w:left w:val="nil"/>
              <w:bottom w:val="nil"/>
              <w:right w:val="nil"/>
            </w:tcBorders>
            <w:shd w:val="clear" w:color="auto" w:fill="F2F2F2" w:themeFill="background1" w:themeFillShade="F2"/>
            <w:vAlign w:val="center"/>
            <w:hideMark/>
          </w:tcPr>
          <w:p w:rsidRPr="0043359A" w:rsidR="0043359A" w:rsidP="0043359A" w:rsidRDefault="0043359A">
            <w:pPr>
              <w:overflowPunct/>
              <w:autoSpaceDE/>
              <w:autoSpaceDN/>
              <w:adjustRightInd/>
              <w:jc w:val="center"/>
              <w:textAlignment w:val="auto"/>
              <w:rPr>
                <w:rFonts w:ascii="Verdana" w:hAnsi="Verdana"/>
                <w:b/>
                <w:bCs/>
                <w:color w:val="000000"/>
                <w:sz w:val="20"/>
                <w:lang w:eastAsia="en-GB"/>
              </w:rPr>
            </w:pPr>
            <w:r w:rsidRPr="0043359A">
              <w:rPr>
                <w:rFonts w:ascii="Verdana" w:hAnsi="Verdana"/>
                <w:b/>
                <w:bCs/>
                <w:color w:val="000000"/>
                <w:sz w:val="20"/>
                <w:lang w:eastAsia="en-GB"/>
              </w:rPr>
              <w:t>Notes</w:t>
            </w:r>
          </w:p>
        </w:tc>
        <w:tc>
          <w:tcPr>
            <w:tcW w:w="236" w:type="dxa"/>
            <w:tcBorders>
              <w:top w:val="nil"/>
              <w:left w:val="nil"/>
              <w:bottom w:val="nil"/>
              <w:right w:val="nil"/>
            </w:tcBorders>
            <w:shd w:val="clear" w:color="auto" w:fill="F2F2F2" w:themeFill="background1" w:themeFillShade="F2"/>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61" w:type="dxa"/>
            <w:tcBorders>
              <w:top w:val="nil"/>
              <w:left w:val="nil"/>
              <w:bottom w:val="nil"/>
              <w:right w:val="nil"/>
            </w:tcBorders>
            <w:shd w:val="clear" w:color="auto" w:fill="F2F2F2" w:themeFill="background1" w:themeFillShade="F2"/>
            <w:vAlign w:val="center"/>
            <w:hideMark/>
          </w:tcPr>
          <w:p w:rsidRPr="0043359A" w:rsidR="0043359A" w:rsidP="0043359A" w:rsidRDefault="0043359A">
            <w:pPr>
              <w:overflowPunct/>
              <w:autoSpaceDE/>
              <w:autoSpaceDN/>
              <w:adjustRightInd/>
              <w:jc w:val="right"/>
              <w:textAlignment w:val="auto"/>
              <w:rPr>
                <w:rFonts w:ascii="Verdana" w:hAnsi="Verdana"/>
                <w:b/>
                <w:bCs/>
                <w:color w:val="000000"/>
                <w:sz w:val="20"/>
                <w:lang w:eastAsia="en-GB"/>
              </w:rPr>
            </w:pPr>
            <w:r w:rsidRPr="0043359A">
              <w:rPr>
                <w:rFonts w:ascii="Verdana" w:hAnsi="Verdana"/>
                <w:b/>
                <w:bCs/>
                <w:color w:val="000000"/>
                <w:sz w:val="20"/>
                <w:lang w:eastAsia="en-GB"/>
              </w:rPr>
              <w:t>2017-18</w:t>
            </w:r>
          </w:p>
        </w:tc>
        <w:tc>
          <w:tcPr>
            <w:tcW w:w="287" w:type="dxa"/>
            <w:tcBorders>
              <w:top w:val="nil"/>
              <w:left w:val="nil"/>
              <w:bottom w:val="nil"/>
              <w:right w:val="nil"/>
            </w:tcBorders>
            <w:shd w:val="clear" w:color="auto" w:fill="F2F2F2" w:themeFill="background1" w:themeFillShade="F2"/>
            <w:vAlign w:val="center"/>
            <w:hideMark/>
          </w:tcPr>
          <w:p w:rsidRPr="0043359A" w:rsidR="0043359A" w:rsidP="0043359A" w:rsidRDefault="0043359A">
            <w:pPr>
              <w:overflowPunct/>
              <w:autoSpaceDE/>
              <w:autoSpaceDN/>
              <w:adjustRightInd/>
              <w:jc w:val="right"/>
              <w:textAlignment w:val="auto"/>
              <w:rPr>
                <w:rFonts w:ascii="Verdana" w:hAnsi="Verdana"/>
                <w:b/>
                <w:bCs/>
                <w:color w:val="000000"/>
                <w:sz w:val="20"/>
                <w:lang w:eastAsia="en-GB"/>
              </w:rPr>
            </w:pPr>
            <w:r w:rsidRPr="0043359A">
              <w:rPr>
                <w:rFonts w:ascii="Verdana" w:hAnsi="Verdana"/>
                <w:b/>
                <w:bCs/>
                <w:color w:val="000000"/>
                <w:sz w:val="20"/>
                <w:lang w:eastAsia="en-GB"/>
              </w:rPr>
              <w:t> </w:t>
            </w:r>
          </w:p>
        </w:tc>
        <w:tc>
          <w:tcPr>
            <w:tcW w:w="1634" w:type="dxa"/>
            <w:tcBorders>
              <w:top w:val="nil"/>
              <w:left w:val="nil"/>
              <w:bottom w:val="nil"/>
              <w:right w:val="nil"/>
            </w:tcBorders>
            <w:shd w:val="clear" w:color="auto" w:fill="F2F2F2" w:themeFill="background1" w:themeFillShade="F2"/>
            <w:vAlign w:val="center"/>
            <w:hideMark/>
          </w:tcPr>
          <w:p w:rsidRPr="0043359A" w:rsidR="0043359A" w:rsidP="0043359A" w:rsidRDefault="0043359A">
            <w:pPr>
              <w:overflowPunct/>
              <w:autoSpaceDE/>
              <w:autoSpaceDN/>
              <w:adjustRightInd/>
              <w:jc w:val="right"/>
              <w:textAlignment w:val="auto"/>
              <w:rPr>
                <w:rFonts w:ascii="Verdana" w:hAnsi="Verdana"/>
                <w:b/>
                <w:bCs/>
                <w:color w:val="000000"/>
                <w:sz w:val="20"/>
                <w:lang w:eastAsia="en-GB"/>
              </w:rPr>
            </w:pPr>
            <w:r w:rsidRPr="0043359A">
              <w:rPr>
                <w:rFonts w:ascii="Verdana" w:hAnsi="Verdana"/>
                <w:b/>
                <w:bCs/>
                <w:color w:val="000000"/>
                <w:sz w:val="20"/>
                <w:lang w:eastAsia="en-GB"/>
              </w:rPr>
              <w:t>2016-17</w:t>
            </w:r>
          </w:p>
        </w:tc>
      </w:tr>
      <w:tr w:rsidRPr="0043359A" w:rsidR="0043359A" w:rsidTr="00BC2CBF">
        <w:trPr>
          <w:trHeight w:val="300"/>
        </w:trPr>
        <w:tc>
          <w:tcPr>
            <w:tcW w:w="4820"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960"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 </w:t>
            </w:r>
          </w:p>
        </w:tc>
        <w:tc>
          <w:tcPr>
            <w:tcW w:w="23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61"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right"/>
              <w:textAlignment w:val="auto"/>
              <w:rPr>
                <w:rFonts w:ascii="Verdana" w:hAnsi="Verdana"/>
                <w:b/>
                <w:bCs/>
                <w:color w:val="000000"/>
                <w:sz w:val="20"/>
                <w:lang w:eastAsia="en-GB"/>
              </w:rPr>
            </w:pPr>
            <w:r w:rsidRPr="0043359A">
              <w:rPr>
                <w:rFonts w:ascii="Verdana" w:hAnsi="Verdana"/>
                <w:b/>
                <w:bCs/>
                <w:color w:val="000000"/>
                <w:sz w:val="20"/>
                <w:lang w:eastAsia="en-GB"/>
              </w:rPr>
              <w:t>£</w:t>
            </w:r>
          </w:p>
        </w:tc>
        <w:tc>
          <w:tcPr>
            <w:tcW w:w="2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right"/>
              <w:textAlignment w:val="auto"/>
              <w:rPr>
                <w:rFonts w:ascii="Verdana" w:hAnsi="Verdana"/>
                <w:b/>
                <w:bCs/>
                <w:color w:val="000000"/>
                <w:sz w:val="20"/>
                <w:lang w:eastAsia="en-GB"/>
              </w:rPr>
            </w:pPr>
            <w:r w:rsidRPr="0043359A">
              <w:rPr>
                <w:rFonts w:ascii="Verdana" w:hAnsi="Verdana"/>
                <w:b/>
                <w:bCs/>
                <w:color w:val="000000"/>
                <w:sz w:val="20"/>
                <w:lang w:eastAsia="en-GB"/>
              </w:rPr>
              <w:t> </w:t>
            </w:r>
          </w:p>
        </w:tc>
        <w:tc>
          <w:tcPr>
            <w:tcW w:w="1634"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right"/>
              <w:textAlignment w:val="auto"/>
              <w:rPr>
                <w:rFonts w:ascii="Verdana" w:hAnsi="Verdana"/>
                <w:b/>
                <w:bCs/>
                <w:color w:val="000000"/>
                <w:sz w:val="20"/>
                <w:lang w:eastAsia="en-GB"/>
              </w:rPr>
            </w:pPr>
            <w:r w:rsidRPr="0043359A">
              <w:rPr>
                <w:rFonts w:ascii="Verdana" w:hAnsi="Verdana"/>
                <w:b/>
                <w:bCs/>
                <w:color w:val="000000"/>
                <w:sz w:val="20"/>
                <w:lang w:eastAsia="en-GB"/>
              </w:rPr>
              <w:t>£</w:t>
            </w:r>
          </w:p>
        </w:tc>
      </w:tr>
      <w:tr w:rsidRPr="0043359A" w:rsidR="0043359A" w:rsidTr="00BC2CBF">
        <w:trPr>
          <w:trHeight w:val="300"/>
        </w:trPr>
        <w:tc>
          <w:tcPr>
            <w:tcW w:w="4820" w:type="dxa"/>
            <w:tcBorders>
              <w:top w:val="nil"/>
              <w:left w:val="nil"/>
              <w:bottom w:val="nil"/>
              <w:right w:val="nil"/>
            </w:tcBorders>
            <w:shd w:val="clear" w:color="auto" w:fill="F2F2F2" w:themeFill="background1" w:themeFillShade="F2"/>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Turnover (Management Fee)</w:t>
            </w:r>
          </w:p>
        </w:tc>
        <w:tc>
          <w:tcPr>
            <w:tcW w:w="960" w:type="dxa"/>
            <w:tcBorders>
              <w:top w:val="nil"/>
              <w:left w:val="nil"/>
              <w:bottom w:val="nil"/>
              <w:right w:val="nil"/>
            </w:tcBorders>
            <w:shd w:val="clear" w:color="auto" w:fill="F2F2F2" w:themeFill="background1" w:themeFillShade="F2"/>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2</w:t>
            </w:r>
          </w:p>
        </w:tc>
        <w:tc>
          <w:tcPr>
            <w:tcW w:w="23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61" w:type="dxa"/>
            <w:tcBorders>
              <w:top w:val="nil"/>
              <w:left w:val="nil"/>
              <w:bottom w:val="nil"/>
              <w:right w:val="nil"/>
            </w:tcBorders>
            <w:shd w:val="clear" w:color="auto" w:fill="F2F2F2" w:themeFill="background1" w:themeFillShade="F2"/>
            <w:noWrap/>
            <w:vAlign w:val="center"/>
            <w:hideMark/>
          </w:tcPr>
          <w:p w:rsidRPr="00945337" w:rsidR="0043359A" w:rsidP="005B32E3" w:rsidRDefault="0043359A">
            <w:pPr>
              <w:tabs>
                <w:tab w:val="left" w:pos="793"/>
              </w:tabs>
              <w:overflowPunct/>
              <w:autoSpaceDE/>
              <w:autoSpaceDN/>
              <w:adjustRightInd/>
              <w:jc w:val="right"/>
              <w:textAlignment w:val="auto"/>
              <w:rPr>
                <w:rFonts w:ascii="Verdana" w:hAnsi="Verdana"/>
                <w:sz w:val="20"/>
                <w:lang w:eastAsia="en-GB"/>
              </w:rPr>
            </w:pPr>
            <w:r w:rsidRPr="00945337">
              <w:rPr>
                <w:rFonts w:ascii="Verdana" w:hAnsi="Verdana"/>
                <w:sz w:val="20"/>
                <w:lang w:eastAsia="en-GB"/>
              </w:rPr>
              <w:t>32,786,139</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634"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30,817,996</w:t>
            </w:r>
          </w:p>
        </w:tc>
      </w:tr>
      <w:tr w:rsidRPr="0043359A" w:rsidR="0043359A" w:rsidTr="00BC2CBF">
        <w:trPr>
          <w:trHeight w:val="315"/>
        </w:trPr>
        <w:tc>
          <w:tcPr>
            <w:tcW w:w="4820" w:type="dxa"/>
            <w:tcBorders>
              <w:top w:val="nil"/>
              <w:left w:val="nil"/>
              <w:bottom w:val="nil"/>
              <w:right w:val="nil"/>
            </w:tcBorders>
            <w:shd w:val="clear" w:color="auto" w:fill="F2F2F2" w:themeFill="background1" w:themeFillShade="F2"/>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less Cost of Sales</w:t>
            </w:r>
          </w:p>
        </w:tc>
        <w:tc>
          <w:tcPr>
            <w:tcW w:w="960" w:type="dxa"/>
            <w:tcBorders>
              <w:top w:val="nil"/>
              <w:left w:val="nil"/>
              <w:bottom w:val="nil"/>
              <w:right w:val="nil"/>
            </w:tcBorders>
            <w:shd w:val="clear" w:color="auto" w:fill="F2F2F2" w:themeFill="background1" w:themeFillShade="F2"/>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 </w:t>
            </w:r>
          </w:p>
        </w:tc>
        <w:tc>
          <w:tcPr>
            <w:tcW w:w="23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61"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(33,559,939)</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634"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(31,617,589)</w:t>
            </w:r>
          </w:p>
        </w:tc>
      </w:tr>
      <w:tr w:rsidRPr="0043359A" w:rsidR="0043359A" w:rsidTr="00BC2CBF">
        <w:trPr>
          <w:trHeight w:val="315"/>
        </w:trPr>
        <w:tc>
          <w:tcPr>
            <w:tcW w:w="4820" w:type="dxa"/>
            <w:tcBorders>
              <w:top w:val="nil"/>
              <w:left w:val="nil"/>
              <w:bottom w:val="nil"/>
              <w:right w:val="nil"/>
            </w:tcBorders>
            <w:shd w:val="clear" w:color="auto" w:fill="F2F2F2" w:themeFill="background1" w:themeFillShade="F2"/>
            <w:vAlign w:val="center"/>
            <w:hideMark/>
          </w:tcPr>
          <w:p w:rsidRPr="0043359A" w:rsidR="0043359A" w:rsidP="00945337" w:rsidRDefault="00945337">
            <w:pPr>
              <w:overflowPunct/>
              <w:autoSpaceDE/>
              <w:autoSpaceDN/>
              <w:adjustRightInd/>
              <w:jc w:val="left"/>
              <w:textAlignment w:val="auto"/>
              <w:rPr>
                <w:rFonts w:ascii="Verdana" w:hAnsi="Verdana"/>
                <w:color w:val="000000"/>
                <w:sz w:val="20"/>
                <w:lang w:eastAsia="en-GB"/>
              </w:rPr>
            </w:pPr>
            <w:r>
              <w:rPr>
                <w:rFonts w:ascii="Verdana" w:hAnsi="Verdana"/>
                <w:color w:val="000000"/>
                <w:sz w:val="20"/>
                <w:lang w:eastAsia="en-GB"/>
              </w:rPr>
              <w:t>Operating (Loss)/Profit</w:t>
            </w:r>
          </w:p>
        </w:tc>
        <w:tc>
          <w:tcPr>
            <w:tcW w:w="960" w:type="dxa"/>
            <w:tcBorders>
              <w:top w:val="nil"/>
              <w:left w:val="nil"/>
              <w:bottom w:val="nil"/>
              <w:right w:val="nil"/>
            </w:tcBorders>
            <w:shd w:val="clear" w:color="auto" w:fill="F2F2F2" w:themeFill="background1" w:themeFillShade="F2"/>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 </w:t>
            </w:r>
          </w:p>
        </w:tc>
        <w:tc>
          <w:tcPr>
            <w:tcW w:w="23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61" w:type="dxa"/>
            <w:tcBorders>
              <w:top w:val="single" w:color="auto" w:sz="8" w:space="0"/>
              <w:left w:val="nil"/>
              <w:bottom w:val="single" w:color="auto" w:sz="8" w:space="0"/>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(773,800)</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634" w:type="dxa"/>
            <w:tcBorders>
              <w:top w:val="single" w:color="auto" w:sz="8" w:space="0"/>
              <w:left w:val="nil"/>
              <w:bottom w:val="single" w:color="auto" w:sz="8" w:space="0"/>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(799,593)</w:t>
            </w:r>
          </w:p>
        </w:tc>
      </w:tr>
      <w:tr w:rsidRPr="0043359A" w:rsidR="0043359A" w:rsidTr="00BC2CBF">
        <w:trPr>
          <w:trHeight w:val="289"/>
        </w:trPr>
        <w:tc>
          <w:tcPr>
            <w:tcW w:w="4820" w:type="dxa"/>
            <w:tcBorders>
              <w:top w:val="nil"/>
              <w:left w:val="nil"/>
              <w:bottom w:val="nil"/>
              <w:right w:val="nil"/>
            </w:tcBorders>
            <w:shd w:val="clear" w:color="auto" w:fill="F2F2F2" w:themeFill="background1" w:themeFillShade="F2"/>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960" w:type="dxa"/>
            <w:tcBorders>
              <w:top w:val="nil"/>
              <w:left w:val="nil"/>
              <w:bottom w:val="nil"/>
              <w:right w:val="nil"/>
            </w:tcBorders>
            <w:shd w:val="clear" w:color="auto" w:fill="F2F2F2" w:themeFill="background1" w:themeFillShade="F2"/>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 </w:t>
            </w:r>
          </w:p>
        </w:tc>
        <w:tc>
          <w:tcPr>
            <w:tcW w:w="23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61"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634"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r>
      <w:tr w:rsidRPr="0043359A" w:rsidR="0043359A" w:rsidTr="00BC2CBF">
        <w:trPr>
          <w:trHeight w:val="289"/>
        </w:trPr>
        <w:tc>
          <w:tcPr>
            <w:tcW w:w="4820" w:type="dxa"/>
            <w:tcBorders>
              <w:top w:val="nil"/>
              <w:left w:val="nil"/>
              <w:bottom w:val="nil"/>
              <w:right w:val="nil"/>
            </w:tcBorders>
            <w:shd w:val="clear" w:color="auto" w:fill="F2F2F2" w:themeFill="background1" w:themeFillShade="F2"/>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Interest receivable &amp; similar income</w:t>
            </w:r>
          </w:p>
        </w:tc>
        <w:tc>
          <w:tcPr>
            <w:tcW w:w="960" w:type="dxa"/>
            <w:tcBorders>
              <w:top w:val="nil"/>
              <w:left w:val="nil"/>
              <w:bottom w:val="nil"/>
              <w:right w:val="nil"/>
            </w:tcBorders>
            <w:shd w:val="clear" w:color="auto" w:fill="F2F2F2" w:themeFill="background1" w:themeFillShade="F2"/>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6</w:t>
            </w:r>
          </w:p>
        </w:tc>
        <w:tc>
          <w:tcPr>
            <w:tcW w:w="23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61"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43,388</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634"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72,383</w:t>
            </w:r>
          </w:p>
        </w:tc>
      </w:tr>
      <w:tr w:rsidRPr="0043359A" w:rsidR="0043359A" w:rsidTr="00BC2CBF">
        <w:trPr>
          <w:trHeight w:val="300"/>
        </w:trPr>
        <w:tc>
          <w:tcPr>
            <w:tcW w:w="4820" w:type="dxa"/>
            <w:tcBorders>
              <w:top w:val="nil"/>
              <w:left w:val="nil"/>
              <w:bottom w:val="nil"/>
              <w:right w:val="nil"/>
            </w:tcBorders>
            <w:shd w:val="clear" w:color="auto" w:fill="F2F2F2" w:themeFill="background1" w:themeFillShade="F2"/>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960" w:type="dxa"/>
            <w:tcBorders>
              <w:top w:val="nil"/>
              <w:left w:val="nil"/>
              <w:bottom w:val="nil"/>
              <w:right w:val="nil"/>
            </w:tcBorders>
            <w:shd w:val="clear" w:color="auto" w:fill="F2F2F2" w:themeFill="background1" w:themeFillShade="F2"/>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 </w:t>
            </w:r>
          </w:p>
        </w:tc>
        <w:tc>
          <w:tcPr>
            <w:tcW w:w="23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61"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634"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r>
      <w:tr w:rsidRPr="0043359A" w:rsidR="0043359A" w:rsidTr="00BC2CBF">
        <w:trPr>
          <w:trHeight w:val="300"/>
        </w:trPr>
        <w:tc>
          <w:tcPr>
            <w:tcW w:w="4820" w:type="dxa"/>
            <w:tcBorders>
              <w:top w:val="nil"/>
              <w:left w:val="nil"/>
              <w:bottom w:val="nil"/>
              <w:right w:val="nil"/>
            </w:tcBorders>
            <w:shd w:val="clear" w:color="auto" w:fill="F2F2F2" w:themeFill="background1" w:themeFillShade="F2"/>
            <w:vAlign w:val="center"/>
            <w:hideMark/>
          </w:tcPr>
          <w:p w:rsidRPr="0043359A" w:rsidR="0043359A" w:rsidP="0043359A" w:rsidRDefault="00945337">
            <w:pPr>
              <w:overflowPunct/>
              <w:autoSpaceDE/>
              <w:autoSpaceDN/>
              <w:adjustRightInd/>
              <w:jc w:val="left"/>
              <w:textAlignment w:val="auto"/>
              <w:rPr>
                <w:rFonts w:ascii="Verdana" w:hAnsi="Verdana"/>
                <w:color w:val="000000"/>
                <w:sz w:val="20"/>
                <w:lang w:eastAsia="en-GB"/>
              </w:rPr>
            </w:pPr>
            <w:r>
              <w:rPr>
                <w:rFonts w:ascii="Verdana" w:hAnsi="Verdana"/>
                <w:color w:val="000000"/>
                <w:sz w:val="20"/>
                <w:lang w:eastAsia="en-GB"/>
              </w:rPr>
              <w:t>(Loss)/</w:t>
            </w:r>
            <w:r w:rsidRPr="0043359A" w:rsidR="0043359A">
              <w:rPr>
                <w:rFonts w:ascii="Verdana" w:hAnsi="Verdana"/>
                <w:color w:val="000000"/>
                <w:sz w:val="20"/>
                <w:lang w:eastAsia="en-GB"/>
              </w:rPr>
              <w:t>Profit on ordinary activities before Tax</w:t>
            </w:r>
          </w:p>
        </w:tc>
        <w:tc>
          <w:tcPr>
            <w:tcW w:w="960" w:type="dxa"/>
            <w:tcBorders>
              <w:top w:val="nil"/>
              <w:left w:val="nil"/>
              <w:bottom w:val="nil"/>
              <w:right w:val="nil"/>
            </w:tcBorders>
            <w:shd w:val="clear" w:color="auto" w:fill="F2F2F2" w:themeFill="background1" w:themeFillShade="F2"/>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3</w:t>
            </w:r>
          </w:p>
        </w:tc>
        <w:tc>
          <w:tcPr>
            <w:tcW w:w="23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61" w:type="dxa"/>
            <w:tcBorders>
              <w:top w:val="single" w:color="auto" w:sz="8" w:space="0"/>
              <w:left w:val="nil"/>
              <w:bottom w:val="single" w:color="auto" w:sz="8" w:space="0"/>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(730,412)</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634" w:type="dxa"/>
            <w:tcBorders>
              <w:top w:val="single" w:color="auto" w:sz="8" w:space="0"/>
              <w:left w:val="nil"/>
              <w:bottom w:val="single" w:color="auto" w:sz="8" w:space="0"/>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(727,210)</w:t>
            </w:r>
          </w:p>
        </w:tc>
      </w:tr>
      <w:tr w:rsidRPr="0043359A" w:rsidR="0043359A" w:rsidTr="00BC2CBF">
        <w:trPr>
          <w:trHeight w:val="289"/>
        </w:trPr>
        <w:tc>
          <w:tcPr>
            <w:tcW w:w="4820" w:type="dxa"/>
            <w:tcBorders>
              <w:top w:val="nil"/>
              <w:left w:val="nil"/>
              <w:bottom w:val="nil"/>
              <w:right w:val="nil"/>
            </w:tcBorders>
            <w:shd w:val="clear" w:color="auto" w:fill="F2F2F2" w:themeFill="background1" w:themeFillShade="F2"/>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960" w:type="dxa"/>
            <w:tcBorders>
              <w:top w:val="nil"/>
              <w:left w:val="nil"/>
              <w:bottom w:val="nil"/>
              <w:right w:val="nil"/>
            </w:tcBorders>
            <w:shd w:val="clear" w:color="auto" w:fill="F2F2F2" w:themeFill="background1" w:themeFillShade="F2"/>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 </w:t>
            </w:r>
          </w:p>
        </w:tc>
        <w:tc>
          <w:tcPr>
            <w:tcW w:w="23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61"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634"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r>
      <w:tr w:rsidRPr="0043359A" w:rsidR="0043359A" w:rsidTr="00BC2CBF">
        <w:trPr>
          <w:trHeight w:val="289"/>
        </w:trPr>
        <w:tc>
          <w:tcPr>
            <w:tcW w:w="4820" w:type="dxa"/>
            <w:tcBorders>
              <w:top w:val="nil"/>
              <w:left w:val="nil"/>
              <w:bottom w:val="nil"/>
              <w:right w:val="nil"/>
            </w:tcBorders>
            <w:shd w:val="clear" w:color="auto" w:fill="F2F2F2" w:themeFill="background1" w:themeFillShade="F2"/>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Tax</w:t>
            </w:r>
          </w:p>
        </w:tc>
        <w:tc>
          <w:tcPr>
            <w:tcW w:w="960" w:type="dxa"/>
            <w:tcBorders>
              <w:top w:val="nil"/>
              <w:left w:val="nil"/>
              <w:bottom w:val="nil"/>
              <w:right w:val="nil"/>
            </w:tcBorders>
            <w:shd w:val="clear" w:color="auto" w:fill="F2F2F2" w:themeFill="background1" w:themeFillShade="F2"/>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7</w:t>
            </w:r>
          </w:p>
        </w:tc>
        <w:tc>
          <w:tcPr>
            <w:tcW w:w="23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61"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(8,678)</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634"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(14,477)</w:t>
            </w:r>
          </w:p>
        </w:tc>
      </w:tr>
      <w:tr w:rsidRPr="0043359A" w:rsidR="0043359A" w:rsidTr="00BC2CBF">
        <w:trPr>
          <w:trHeight w:val="300"/>
        </w:trPr>
        <w:tc>
          <w:tcPr>
            <w:tcW w:w="4820" w:type="dxa"/>
            <w:tcBorders>
              <w:top w:val="nil"/>
              <w:left w:val="nil"/>
              <w:bottom w:val="nil"/>
              <w:right w:val="nil"/>
            </w:tcBorders>
            <w:shd w:val="clear" w:color="auto" w:fill="F2F2F2" w:themeFill="background1" w:themeFillShade="F2"/>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960" w:type="dxa"/>
            <w:tcBorders>
              <w:top w:val="nil"/>
              <w:left w:val="nil"/>
              <w:bottom w:val="nil"/>
              <w:right w:val="nil"/>
            </w:tcBorders>
            <w:shd w:val="clear" w:color="auto" w:fill="F2F2F2" w:themeFill="background1" w:themeFillShade="F2"/>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 </w:t>
            </w:r>
          </w:p>
        </w:tc>
        <w:tc>
          <w:tcPr>
            <w:tcW w:w="23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61"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634"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r>
      <w:tr w:rsidRPr="0043359A" w:rsidR="0043359A" w:rsidTr="00BC2CBF">
        <w:trPr>
          <w:trHeight w:val="315"/>
        </w:trPr>
        <w:tc>
          <w:tcPr>
            <w:tcW w:w="4820" w:type="dxa"/>
            <w:tcBorders>
              <w:top w:val="nil"/>
              <w:left w:val="nil"/>
              <w:bottom w:val="nil"/>
              <w:right w:val="nil"/>
            </w:tcBorders>
            <w:shd w:val="clear" w:color="auto" w:fill="F2F2F2" w:themeFill="background1" w:themeFillShade="F2"/>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Profit for the Financial Year</w:t>
            </w:r>
          </w:p>
        </w:tc>
        <w:tc>
          <w:tcPr>
            <w:tcW w:w="960" w:type="dxa"/>
            <w:tcBorders>
              <w:top w:val="nil"/>
              <w:left w:val="nil"/>
              <w:bottom w:val="nil"/>
              <w:right w:val="nil"/>
            </w:tcBorders>
            <w:shd w:val="clear" w:color="auto" w:fill="F2F2F2" w:themeFill="background1" w:themeFillShade="F2"/>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 </w:t>
            </w:r>
          </w:p>
        </w:tc>
        <w:tc>
          <w:tcPr>
            <w:tcW w:w="23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61" w:type="dxa"/>
            <w:tcBorders>
              <w:top w:val="single" w:color="auto" w:sz="8" w:space="0"/>
              <w:left w:val="nil"/>
              <w:bottom w:val="single" w:color="auto" w:sz="8" w:space="0"/>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(739,090)</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634" w:type="dxa"/>
            <w:tcBorders>
              <w:top w:val="single" w:color="auto" w:sz="8" w:space="0"/>
              <w:left w:val="nil"/>
              <w:bottom w:val="single" w:color="auto" w:sz="8" w:space="0"/>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(741,687)</w:t>
            </w:r>
          </w:p>
        </w:tc>
      </w:tr>
      <w:tr w:rsidRPr="0043359A" w:rsidR="0043359A" w:rsidTr="00BC2CBF">
        <w:trPr>
          <w:trHeight w:val="300"/>
        </w:trPr>
        <w:tc>
          <w:tcPr>
            <w:tcW w:w="4820"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Other comprehensive income:</w:t>
            </w:r>
          </w:p>
        </w:tc>
        <w:tc>
          <w:tcPr>
            <w:tcW w:w="960"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 </w:t>
            </w:r>
          </w:p>
        </w:tc>
        <w:tc>
          <w:tcPr>
            <w:tcW w:w="23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61"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634"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r>
      <w:tr w:rsidRPr="0043359A" w:rsidR="0043359A" w:rsidTr="00BC2CBF">
        <w:trPr>
          <w:trHeight w:val="300"/>
        </w:trPr>
        <w:tc>
          <w:tcPr>
            <w:tcW w:w="4820"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Actuarial Gain/(Loss) in Pension Scheme</w:t>
            </w:r>
          </w:p>
        </w:tc>
        <w:tc>
          <w:tcPr>
            <w:tcW w:w="960"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13</w:t>
            </w:r>
          </w:p>
        </w:tc>
        <w:tc>
          <w:tcPr>
            <w:tcW w:w="23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61"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359,000</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634"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2,713,000</w:t>
            </w:r>
          </w:p>
        </w:tc>
      </w:tr>
      <w:tr w:rsidRPr="0043359A" w:rsidR="0043359A" w:rsidTr="00BC2CBF">
        <w:trPr>
          <w:trHeight w:val="525"/>
        </w:trPr>
        <w:tc>
          <w:tcPr>
            <w:tcW w:w="4820" w:type="dxa"/>
            <w:tcBorders>
              <w:top w:val="nil"/>
              <w:left w:val="nil"/>
              <w:bottom w:val="nil"/>
              <w:right w:val="nil"/>
            </w:tcBorders>
            <w:shd w:val="clear" w:color="auto" w:fill="F2F2F2" w:themeFill="background1" w:themeFillShade="F2"/>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Related Movement in Reimbursement Right Asset</w:t>
            </w:r>
          </w:p>
        </w:tc>
        <w:tc>
          <w:tcPr>
            <w:tcW w:w="960"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13</w:t>
            </w:r>
          </w:p>
        </w:tc>
        <w:tc>
          <w:tcPr>
            <w:tcW w:w="23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61"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(359,000)</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634"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(2,713,000)</w:t>
            </w:r>
          </w:p>
        </w:tc>
      </w:tr>
      <w:tr w:rsidRPr="0043359A" w:rsidR="0043359A" w:rsidTr="00BC2CBF">
        <w:trPr>
          <w:trHeight w:val="315"/>
        </w:trPr>
        <w:tc>
          <w:tcPr>
            <w:tcW w:w="4820" w:type="dxa"/>
            <w:tcBorders>
              <w:top w:val="nil"/>
              <w:left w:val="nil"/>
              <w:bottom w:val="nil"/>
              <w:right w:val="nil"/>
            </w:tcBorders>
            <w:shd w:val="clear" w:color="auto" w:fill="F2F2F2" w:themeFill="background1" w:themeFillShade="F2"/>
            <w:noWrap/>
            <w:vAlign w:val="center"/>
            <w:hideMark/>
          </w:tcPr>
          <w:p w:rsidRPr="0043359A" w:rsidR="0043359A" w:rsidP="006C5279" w:rsidRDefault="006C5279">
            <w:pPr>
              <w:overflowPunct/>
              <w:autoSpaceDE/>
              <w:autoSpaceDN/>
              <w:adjustRightInd/>
              <w:jc w:val="left"/>
              <w:textAlignment w:val="auto"/>
              <w:rPr>
                <w:rFonts w:ascii="Verdana" w:hAnsi="Verdana"/>
                <w:color w:val="000000"/>
                <w:sz w:val="20"/>
                <w:lang w:eastAsia="en-GB"/>
              </w:rPr>
            </w:pPr>
            <w:r>
              <w:rPr>
                <w:rFonts w:ascii="Verdana" w:hAnsi="Verdana"/>
                <w:color w:val="000000"/>
                <w:sz w:val="20"/>
                <w:lang w:eastAsia="en-GB"/>
              </w:rPr>
              <w:t>Total comprehensive loss</w:t>
            </w:r>
            <w:r w:rsidRPr="0043359A" w:rsidR="0043359A">
              <w:rPr>
                <w:rFonts w:ascii="Verdana" w:hAnsi="Verdana"/>
                <w:color w:val="000000"/>
                <w:sz w:val="20"/>
                <w:lang w:eastAsia="en-GB"/>
              </w:rPr>
              <w:t xml:space="preserve"> for the year</w:t>
            </w:r>
          </w:p>
        </w:tc>
        <w:tc>
          <w:tcPr>
            <w:tcW w:w="960" w:type="dxa"/>
            <w:tcBorders>
              <w:top w:val="nil"/>
              <w:left w:val="nil"/>
              <w:bottom w:val="nil"/>
              <w:right w:val="nil"/>
            </w:tcBorders>
            <w:shd w:val="clear" w:color="auto" w:fill="F2F2F2" w:themeFill="background1" w:themeFillShade="F2"/>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 </w:t>
            </w:r>
          </w:p>
        </w:tc>
        <w:tc>
          <w:tcPr>
            <w:tcW w:w="23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61" w:type="dxa"/>
            <w:tcBorders>
              <w:top w:val="single" w:color="auto" w:sz="8" w:space="0"/>
              <w:left w:val="nil"/>
              <w:bottom w:val="double" w:color="auto" w:sz="6" w:space="0"/>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(739,090)</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634" w:type="dxa"/>
            <w:tcBorders>
              <w:top w:val="single" w:color="auto" w:sz="8" w:space="0"/>
              <w:left w:val="nil"/>
              <w:bottom w:val="double" w:color="auto" w:sz="6" w:space="0"/>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(741,687)</w:t>
            </w:r>
          </w:p>
        </w:tc>
      </w:tr>
      <w:tr w:rsidRPr="0043359A" w:rsidR="0043359A" w:rsidTr="00BC2CBF">
        <w:trPr>
          <w:trHeight w:val="315"/>
        </w:trPr>
        <w:tc>
          <w:tcPr>
            <w:tcW w:w="4820"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960"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 </w:t>
            </w:r>
          </w:p>
        </w:tc>
        <w:tc>
          <w:tcPr>
            <w:tcW w:w="23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61"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2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634"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r>
    </w:tbl>
    <w:p w:rsidRPr="008B41ED" w:rsidR="00CA4548" w:rsidP="00F6440B" w:rsidRDefault="00CA4548">
      <w:pPr>
        <w:ind w:right="85"/>
        <w:jc w:val="left"/>
        <w:rPr>
          <w:rFonts w:ascii="Verdana" w:hAnsi="Verdana" w:cs="Arial"/>
          <w:sz w:val="20"/>
          <w:highlight w:val="yellow"/>
        </w:rPr>
      </w:pPr>
    </w:p>
    <w:p w:rsidRPr="008B41ED" w:rsidR="00503466" w:rsidP="00487757" w:rsidRDefault="00AC5EEE">
      <w:pPr>
        <w:ind w:right="85"/>
        <w:jc w:val="left"/>
        <w:rPr>
          <w:rFonts w:ascii="Verdana" w:hAnsi="Verdana" w:cs="Arial"/>
          <w:sz w:val="20"/>
          <w:highlight w:val="yellow"/>
        </w:rPr>
      </w:pPr>
      <w:r w:rsidRPr="003049C1">
        <w:rPr>
          <w:rFonts w:ascii="Verdana" w:hAnsi="Verdana" w:cs="Arial"/>
          <w:sz w:val="20"/>
        </w:rPr>
        <w:t xml:space="preserve">The notes on pages </w:t>
      </w:r>
      <w:r w:rsidRPr="003049C1" w:rsidR="003049C1">
        <w:rPr>
          <w:rFonts w:ascii="Verdana" w:hAnsi="Verdana" w:cs="Arial"/>
          <w:sz w:val="20"/>
        </w:rPr>
        <w:t>18 - 29</w:t>
      </w:r>
      <w:r w:rsidRPr="003049C1">
        <w:rPr>
          <w:rFonts w:ascii="Verdana" w:hAnsi="Verdana" w:cs="Arial"/>
          <w:sz w:val="20"/>
        </w:rPr>
        <w:t xml:space="preserve"> form part of these statements.  </w:t>
      </w:r>
    </w:p>
    <w:p w:rsidRPr="008B41ED" w:rsidR="00312324" w:rsidRDefault="00312324">
      <w:pPr>
        <w:jc w:val="left"/>
        <w:rPr>
          <w:rFonts w:ascii="Arial" w:hAnsi="Arial" w:cs="Arial"/>
          <w:highlight w:val="yellow"/>
        </w:rPr>
      </w:pPr>
    </w:p>
    <w:p w:rsidRPr="0040381B" w:rsidR="00E9305A" w:rsidP="00E9305A" w:rsidRDefault="00015BF9">
      <w:pPr>
        <w:pStyle w:val="ACSectionTOCHeading"/>
        <w:pageBreakBefore/>
        <w:rPr>
          <w:rFonts w:ascii="Verdana" w:hAnsi="Verdana" w:cs="Arial"/>
        </w:rPr>
      </w:pPr>
      <w:r w:rsidRPr="0040381B">
        <w:rPr>
          <w:rFonts w:ascii="Verdana" w:hAnsi="Verdana" w:cs="Arial"/>
        </w:rPr>
        <w:lastRenderedPageBreak/>
        <w:t>Statement of Financial Position</w:t>
      </w:r>
    </w:p>
    <w:p w:rsidRPr="0040381B" w:rsidR="005E2493" w:rsidP="00E9323C" w:rsidRDefault="00E9305A">
      <w:pPr>
        <w:ind w:right="737"/>
        <w:jc w:val="left"/>
        <w:rPr>
          <w:rFonts w:ascii="Verdana" w:hAnsi="Verdana" w:cs="Arial"/>
          <w:b/>
          <w:sz w:val="20"/>
        </w:rPr>
      </w:pPr>
      <w:r w:rsidRPr="0040381B">
        <w:rPr>
          <w:rFonts w:ascii="Verdana" w:hAnsi="Verdana" w:cs="Arial"/>
          <w:b/>
          <w:sz w:val="20"/>
        </w:rPr>
        <w:t>At 31 March 201</w:t>
      </w:r>
      <w:r w:rsidR="00AB1242">
        <w:rPr>
          <w:rFonts w:ascii="Verdana" w:hAnsi="Verdana" w:cs="Arial"/>
          <w:b/>
          <w:sz w:val="20"/>
        </w:rPr>
        <w:t>8</w:t>
      </w:r>
    </w:p>
    <w:p w:rsidRPr="0040381B" w:rsidR="00CA4548" w:rsidP="00E9323C" w:rsidRDefault="00CA4548">
      <w:pPr>
        <w:ind w:right="737"/>
        <w:jc w:val="left"/>
        <w:rPr>
          <w:rFonts w:ascii="Verdana" w:hAnsi="Verdana" w:cs="Arial"/>
          <w:sz w:val="20"/>
        </w:rPr>
      </w:pPr>
    </w:p>
    <w:tbl>
      <w:tblPr>
        <w:tblW w:w="9494" w:type="dxa"/>
        <w:tblInd w:w="108" w:type="dxa"/>
        <w:tblLook w:val="04A0" w:firstRow="1" w:lastRow="0" w:firstColumn="1" w:lastColumn="0" w:noHBand="0" w:noVBand="1"/>
      </w:tblPr>
      <w:tblGrid>
        <w:gridCol w:w="4346"/>
        <w:gridCol w:w="1608"/>
        <w:gridCol w:w="287"/>
        <w:gridCol w:w="1536"/>
        <w:gridCol w:w="287"/>
        <w:gridCol w:w="1434"/>
      </w:tblGrid>
      <w:tr w:rsidRPr="0043359A" w:rsidR="0043359A" w:rsidTr="00BC2CBF">
        <w:trPr>
          <w:trHeight w:val="289"/>
        </w:trPr>
        <w:tc>
          <w:tcPr>
            <w:tcW w:w="434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ind w:right="192"/>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608"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 </w:t>
            </w:r>
          </w:p>
        </w:tc>
        <w:tc>
          <w:tcPr>
            <w:tcW w:w="283"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3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2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434"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r>
      <w:tr w:rsidRPr="0043359A" w:rsidR="0043359A" w:rsidTr="00BC2CBF">
        <w:trPr>
          <w:trHeight w:val="289"/>
        </w:trPr>
        <w:tc>
          <w:tcPr>
            <w:tcW w:w="434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ind w:right="192"/>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608"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b/>
                <w:bCs/>
                <w:color w:val="000000"/>
                <w:sz w:val="20"/>
                <w:lang w:eastAsia="en-GB"/>
              </w:rPr>
            </w:pPr>
            <w:r w:rsidRPr="0043359A">
              <w:rPr>
                <w:rFonts w:ascii="Verdana" w:hAnsi="Verdana"/>
                <w:b/>
                <w:bCs/>
                <w:color w:val="000000"/>
                <w:sz w:val="20"/>
                <w:lang w:eastAsia="en-GB"/>
              </w:rPr>
              <w:t>Notes</w:t>
            </w:r>
          </w:p>
        </w:tc>
        <w:tc>
          <w:tcPr>
            <w:tcW w:w="283"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3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b/>
                <w:bCs/>
                <w:color w:val="000000"/>
                <w:sz w:val="20"/>
                <w:lang w:eastAsia="en-GB"/>
              </w:rPr>
            </w:pPr>
            <w:r w:rsidRPr="0043359A">
              <w:rPr>
                <w:rFonts w:ascii="Verdana" w:hAnsi="Verdana"/>
                <w:b/>
                <w:bCs/>
                <w:color w:val="000000"/>
                <w:sz w:val="20"/>
                <w:lang w:eastAsia="en-GB"/>
              </w:rPr>
              <w:t>31-Mar-18</w:t>
            </w:r>
          </w:p>
        </w:tc>
        <w:tc>
          <w:tcPr>
            <w:tcW w:w="2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434"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b/>
                <w:bCs/>
                <w:color w:val="000000"/>
                <w:sz w:val="20"/>
                <w:lang w:eastAsia="en-GB"/>
              </w:rPr>
            </w:pPr>
            <w:r w:rsidRPr="0043359A">
              <w:rPr>
                <w:rFonts w:ascii="Verdana" w:hAnsi="Verdana"/>
                <w:b/>
                <w:bCs/>
                <w:color w:val="000000"/>
                <w:sz w:val="20"/>
                <w:lang w:eastAsia="en-GB"/>
              </w:rPr>
              <w:t>31-Mar-17</w:t>
            </w:r>
          </w:p>
        </w:tc>
      </w:tr>
      <w:tr w:rsidRPr="0043359A" w:rsidR="0043359A" w:rsidTr="00BC2CBF">
        <w:trPr>
          <w:trHeight w:val="300"/>
        </w:trPr>
        <w:tc>
          <w:tcPr>
            <w:tcW w:w="434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ind w:right="192"/>
              <w:jc w:val="left"/>
              <w:textAlignment w:val="auto"/>
              <w:rPr>
                <w:rFonts w:ascii="Verdana" w:hAnsi="Verdana"/>
                <w:b/>
                <w:bCs/>
                <w:color w:val="000000"/>
                <w:sz w:val="20"/>
                <w:lang w:eastAsia="en-GB"/>
              </w:rPr>
            </w:pPr>
            <w:r w:rsidRPr="0043359A">
              <w:rPr>
                <w:rFonts w:ascii="Verdana" w:hAnsi="Verdana"/>
                <w:b/>
                <w:bCs/>
                <w:color w:val="000000"/>
                <w:sz w:val="20"/>
                <w:lang w:eastAsia="en-GB"/>
              </w:rPr>
              <w:t>Fixed Assets</w:t>
            </w:r>
          </w:p>
        </w:tc>
        <w:tc>
          <w:tcPr>
            <w:tcW w:w="1608"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b/>
                <w:bCs/>
                <w:color w:val="000000"/>
                <w:sz w:val="20"/>
                <w:lang w:eastAsia="en-GB"/>
              </w:rPr>
            </w:pPr>
            <w:r w:rsidRPr="0043359A">
              <w:rPr>
                <w:rFonts w:ascii="Verdana" w:hAnsi="Verdana"/>
                <w:b/>
                <w:bCs/>
                <w:color w:val="000000"/>
                <w:sz w:val="20"/>
                <w:lang w:eastAsia="en-GB"/>
              </w:rPr>
              <w:t> </w:t>
            </w:r>
          </w:p>
        </w:tc>
        <w:tc>
          <w:tcPr>
            <w:tcW w:w="283"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b/>
                <w:bCs/>
                <w:color w:val="000000"/>
                <w:sz w:val="20"/>
                <w:lang w:eastAsia="en-GB"/>
              </w:rPr>
            </w:pPr>
            <w:r w:rsidRPr="0043359A">
              <w:rPr>
                <w:rFonts w:ascii="Verdana" w:hAnsi="Verdana"/>
                <w:b/>
                <w:bCs/>
                <w:color w:val="000000"/>
                <w:sz w:val="20"/>
                <w:lang w:eastAsia="en-GB"/>
              </w:rPr>
              <w:t> </w:t>
            </w:r>
          </w:p>
        </w:tc>
        <w:tc>
          <w:tcPr>
            <w:tcW w:w="153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right"/>
              <w:textAlignment w:val="auto"/>
              <w:rPr>
                <w:rFonts w:ascii="Verdana" w:hAnsi="Verdana"/>
                <w:color w:val="000000"/>
                <w:sz w:val="20"/>
                <w:lang w:eastAsia="en-GB"/>
              </w:rPr>
            </w:pPr>
            <w:r w:rsidRPr="0043359A">
              <w:rPr>
                <w:rFonts w:ascii="Verdana" w:hAnsi="Verdana"/>
                <w:color w:val="000000"/>
                <w:sz w:val="20"/>
                <w:lang w:eastAsia="en-GB"/>
              </w:rPr>
              <w:t> </w:t>
            </w:r>
            <w:r w:rsidRPr="0043359A">
              <w:rPr>
                <w:rFonts w:ascii="Verdana" w:hAnsi="Verdana"/>
                <w:b/>
                <w:bCs/>
                <w:color w:val="000000"/>
                <w:sz w:val="20"/>
                <w:lang w:eastAsia="en-GB"/>
              </w:rPr>
              <w:t>£</w:t>
            </w:r>
          </w:p>
        </w:tc>
        <w:tc>
          <w:tcPr>
            <w:tcW w:w="2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434"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right"/>
              <w:textAlignment w:val="auto"/>
              <w:rPr>
                <w:rFonts w:ascii="Verdana" w:hAnsi="Verdana"/>
                <w:color w:val="000000"/>
                <w:sz w:val="20"/>
                <w:lang w:eastAsia="en-GB"/>
              </w:rPr>
            </w:pPr>
            <w:r w:rsidRPr="0043359A">
              <w:rPr>
                <w:rFonts w:ascii="Verdana" w:hAnsi="Verdana"/>
                <w:color w:val="000000"/>
                <w:sz w:val="20"/>
                <w:lang w:eastAsia="en-GB"/>
              </w:rPr>
              <w:t> </w:t>
            </w:r>
            <w:r w:rsidRPr="0043359A">
              <w:rPr>
                <w:rFonts w:ascii="Verdana" w:hAnsi="Verdana"/>
                <w:b/>
                <w:bCs/>
                <w:color w:val="000000"/>
                <w:sz w:val="20"/>
                <w:lang w:eastAsia="en-GB"/>
              </w:rPr>
              <w:t>£</w:t>
            </w:r>
          </w:p>
        </w:tc>
      </w:tr>
      <w:tr w:rsidRPr="0043359A" w:rsidR="0043359A" w:rsidTr="00BC2CBF">
        <w:trPr>
          <w:trHeight w:val="289"/>
        </w:trPr>
        <w:tc>
          <w:tcPr>
            <w:tcW w:w="434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ind w:right="192"/>
              <w:jc w:val="left"/>
              <w:textAlignment w:val="auto"/>
              <w:rPr>
                <w:rFonts w:ascii="Verdana" w:hAnsi="Verdana"/>
                <w:color w:val="000000"/>
                <w:sz w:val="20"/>
                <w:lang w:eastAsia="en-GB"/>
              </w:rPr>
            </w:pPr>
            <w:r w:rsidRPr="0043359A">
              <w:rPr>
                <w:rFonts w:ascii="Verdana" w:hAnsi="Verdana"/>
                <w:color w:val="000000"/>
                <w:sz w:val="20"/>
                <w:lang w:eastAsia="en-GB"/>
              </w:rPr>
              <w:t>Tangible Assets</w:t>
            </w:r>
          </w:p>
        </w:tc>
        <w:tc>
          <w:tcPr>
            <w:tcW w:w="1608"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8</w:t>
            </w:r>
          </w:p>
        </w:tc>
        <w:tc>
          <w:tcPr>
            <w:tcW w:w="283"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3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right"/>
              <w:textAlignment w:val="auto"/>
              <w:rPr>
                <w:rFonts w:ascii="Verdana" w:hAnsi="Verdana"/>
                <w:color w:val="000000"/>
                <w:sz w:val="20"/>
                <w:lang w:eastAsia="en-GB"/>
              </w:rPr>
            </w:pPr>
            <w:r w:rsidRPr="0043359A">
              <w:rPr>
                <w:rFonts w:ascii="Verdana" w:hAnsi="Verdana"/>
                <w:color w:val="000000"/>
                <w:sz w:val="20"/>
                <w:lang w:eastAsia="en-GB"/>
              </w:rPr>
              <w:t>62,826</w:t>
            </w:r>
          </w:p>
        </w:tc>
        <w:tc>
          <w:tcPr>
            <w:tcW w:w="2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434"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right"/>
              <w:textAlignment w:val="auto"/>
              <w:rPr>
                <w:rFonts w:ascii="Verdana" w:hAnsi="Verdana"/>
                <w:color w:val="000000"/>
                <w:sz w:val="20"/>
                <w:lang w:eastAsia="en-GB"/>
              </w:rPr>
            </w:pPr>
            <w:r w:rsidRPr="0043359A">
              <w:rPr>
                <w:rFonts w:ascii="Verdana" w:hAnsi="Verdana"/>
                <w:color w:val="000000"/>
                <w:sz w:val="20"/>
                <w:lang w:eastAsia="en-GB"/>
              </w:rPr>
              <w:t>68,004</w:t>
            </w:r>
          </w:p>
        </w:tc>
      </w:tr>
      <w:tr w:rsidRPr="0043359A" w:rsidR="0043359A" w:rsidTr="00BC2CBF">
        <w:trPr>
          <w:trHeight w:val="289"/>
        </w:trPr>
        <w:tc>
          <w:tcPr>
            <w:tcW w:w="434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ind w:right="192"/>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608"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 </w:t>
            </w:r>
          </w:p>
        </w:tc>
        <w:tc>
          <w:tcPr>
            <w:tcW w:w="283"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3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2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434"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r>
      <w:tr w:rsidRPr="0043359A" w:rsidR="0043359A" w:rsidTr="00BC2CBF">
        <w:trPr>
          <w:trHeight w:val="289"/>
        </w:trPr>
        <w:tc>
          <w:tcPr>
            <w:tcW w:w="434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ind w:right="192"/>
              <w:jc w:val="left"/>
              <w:textAlignment w:val="auto"/>
              <w:rPr>
                <w:rFonts w:ascii="Verdana" w:hAnsi="Verdana"/>
                <w:b/>
                <w:bCs/>
                <w:color w:val="000000"/>
                <w:sz w:val="20"/>
                <w:lang w:eastAsia="en-GB"/>
              </w:rPr>
            </w:pPr>
            <w:r w:rsidRPr="0043359A">
              <w:rPr>
                <w:rFonts w:ascii="Verdana" w:hAnsi="Verdana"/>
                <w:b/>
                <w:bCs/>
                <w:color w:val="000000"/>
                <w:sz w:val="20"/>
                <w:lang w:eastAsia="en-GB"/>
              </w:rPr>
              <w:t>Current Assets</w:t>
            </w:r>
          </w:p>
        </w:tc>
        <w:tc>
          <w:tcPr>
            <w:tcW w:w="1608"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b/>
                <w:bCs/>
                <w:color w:val="000000"/>
                <w:sz w:val="20"/>
                <w:lang w:eastAsia="en-GB"/>
              </w:rPr>
            </w:pPr>
            <w:r w:rsidRPr="0043359A">
              <w:rPr>
                <w:rFonts w:ascii="Verdana" w:hAnsi="Verdana"/>
                <w:b/>
                <w:bCs/>
                <w:color w:val="000000"/>
                <w:sz w:val="20"/>
                <w:lang w:eastAsia="en-GB"/>
              </w:rPr>
              <w:t> </w:t>
            </w:r>
          </w:p>
        </w:tc>
        <w:tc>
          <w:tcPr>
            <w:tcW w:w="283"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b/>
                <w:bCs/>
                <w:color w:val="000000"/>
                <w:sz w:val="20"/>
                <w:lang w:eastAsia="en-GB"/>
              </w:rPr>
            </w:pPr>
            <w:r w:rsidRPr="0043359A">
              <w:rPr>
                <w:rFonts w:ascii="Verdana" w:hAnsi="Verdana"/>
                <w:b/>
                <w:bCs/>
                <w:color w:val="000000"/>
                <w:sz w:val="20"/>
                <w:lang w:eastAsia="en-GB"/>
              </w:rPr>
              <w:t> </w:t>
            </w:r>
          </w:p>
        </w:tc>
        <w:tc>
          <w:tcPr>
            <w:tcW w:w="1536"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434"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r>
      <w:tr w:rsidRPr="0043359A" w:rsidR="0043359A" w:rsidTr="00BC2CBF">
        <w:trPr>
          <w:trHeight w:val="289"/>
        </w:trPr>
        <w:tc>
          <w:tcPr>
            <w:tcW w:w="434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ind w:right="192"/>
              <w:jc w:val="left"/>
              <w:textAlignment w:val="auto"/>
              <w:rPr>
                <w:rFonts w:ascii="Verdana" w:hAnsi="Verdana"/>
                <w:color w:val="000000"/>
                <w:sz w:val="20"/>
                <w:lang w:eastAsia="en-GB"/>
              </w:rPr>
            </w:pPr>
            <w:r w:rsidRPr="0043359A">
              <w:rPr>
                <w:rFonts w:ascii="Verdana" w:hAnsi="Verdana"/>
                <w:color w:val="000000"/>
                <w:sz w:val="20"/>
                <w:lang w:eastAsia="en-GB"/>
              </w:rPr>
              <w:t>Reimbursement Right Asset</w:t>
            </w:r>
          </w:p>
        </w:tc>
        <w:tc>
          <w:tcPr>
            <w:tcW w:w="1608"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13</w:t>
            </w:r>
          </w:p>
        </w:tc>
        <w:tc>
          <w:tcPr>
            <w:tcW w:w="283"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36"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359,000</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434"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734,000</w:t>
            </w:r>
          </w:p>
        </w:tc>
      </w:tr>
      <w:tr w:rsidRPr="0043359A" w:rsidR="0043359A" w:rsidTr="00BC2CBF">
        <w:trPr>
          <w:trHeight w:val="289"/>
        </w:trPr>
        <w:tc>
          <w:tcPr>
            <w:tcW w:w="434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ind w:right="192"/>
              <w:jc w:val="left"/>
              <w:textAlignment w:val="auto"/>
              <w:rPr>
                <w:rFonts w:ascii="Verdana" w:hAnsi="Verdana"/>
                <w:color w:val="000000"/>
                <w:sz w:val="20"/>
                <w:lang w:eastAsia="en-GB"/>
              </w:rPr>
            </w:pPr>
            <w:r w:rsidRPr="0043359A">
              <w:rPr>
                <w:rFonts w:ascii="Verdana" w:hAnsi="Verdana"/>
                <w:color w:val="000000"/>
                <w:sz w:val="20"/>
                <w:lang w:eastAsia="en-GB"/>
              </w:rPr>
              <w:t>Debtors</w:t>
            </w:r>
          </w:p>
        </w:tc>
        <w:tc>
          <w:tcPr>
            <w:tcW w:w="1608"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9</w:t>
            </w:r>
          </w:p>
        </w:tc>
        <w:tc>
          <w:tcPr>
            <w:tcW w:w="283"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36"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760,481</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434"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83,747</w:t>
            </w:r>
          </w:p>
        </w:tc>
      </w:tr>
      <w:tr w:rsidRPr="0043359A" w:rsidR="0043359A" w:rsidTr="00BC2CBF">
        <w:trPr>
          <w:trHeight w:val="300"/>
        </w:trPr>
        <w:tc>
          <w:tcPr>
            <w:tcW w:w="434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ind w:right="192"/>
              <w:jc w:val="left"/>
              <w:textAlignment w:val="auto"/>
              <w:rPr>
                <w:rFonts w:ascii="Verdana" w:hAnsi="Verdana"/>
                <w:color w:val="000000"/>
                <w:sz w:val="20"/>
                <w:lang w:eastAsia="en-GB"/>
              </w:rPr>
            </w:pPr>
            <w:r w:rsidRPr="0043359A">
              <w:rPr>
                <w:rFonts w:ascii="Verdana" w:hAnsi="Verdana"/>
                <w:color w:val="000000"/>
                <w:sz w:val="20"/>
                <w:lang w:eastAsia="en-GB"/>
              </w:rPr>
              <w:t>Cash</w:t>
            </w:r>
          </w:p>
        </w:tc>
        <w:tc>
          <w:tcPr>
            <w:tcW w:w="1608"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15</w:t>
            </w:r>
          </w:p>
        </w:tc>
        <w:tc>
          <w:tcPr>
            <w:tcW w:w="283"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36"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6,446,579</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434"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7,820,060</w:t>
            </w:r>
          </w:p>
        </w:tc>
      </w:tr>
      <w:tr w:rsidRPr="0043359A" w:rsidR="0043359A" w:rsidTr="00BC2CBF">
        <w:trPr>
          <w:trHeight w:val="300"/>
        </w:trPr>
        <w:tc>
          <w:tcPr>
            <w:tcW w:w="434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ind w:right="192"/>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608"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 </w:t>
            </w:r>
          </w:p>
        </w:tc>
        <w:tc>
          <w:tcPr>
            <w:tcW w:w="283"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36" w:type="dxa"/>
            <w:tcBorders>
              <w:top w:val="single" w:color="auto" w:sz="8" w:space="0"/>
              <w:left w:val="nil"/>
              <w:bottom w:val="single" w:color="auto" w:sz="8" w:space="0"/>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7,566,060</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434" w:type="dxa"/>
            <w:tcBorders>
              <w:top w:val="single" w:color="auto" w:sz="8" w:space="0"/>
              <w:left w:val="nil"/>
              <w:bottom w:val="single" w:color="auto" w:sz="8" w:space="0"/>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8,637,807</w:t>
            </w:r>
          </w:p>
        </w:tc>
      </w:tr>
      <w:tr w:rsidRPr="0043359A" w:rsidR="0043359A" w:rsidTr="00BC2CBF">
        <w:trPr>
          <w:trHeight w:val="289"/>
        </w:trPr>
        <w:tc>
          <w:tcPr>
            <w:tcW w:w="434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ind w:right="192"/>
              <w:jc w:val="left"/>
              <w:textAlignment w:val="auto"/>
              <w:rPr>
                <w:rFonts w:ascii="Verdana" w:hAnsi="Verdana"/>
                <w:b/>
                <w:bCs/>
                <w:color w:val="000000"/>
                <w:sz w:val="20"/>
                <w:lang w:eastAsia="en-GB"/>
              </w:rPr>
            </w:pPr>
            <w:r w:rsidRPr="0043359A">
              <w:rPr>
                <w:rFonts w:ascii="Verdana" w:hAnsi="Verdana"/>
                <w:b/>
                <w:bCs/>
                <w:color w:val="000000"/>
                <w:sz w:val="20"/>
                <w:lang w:eastAsia="en-GB"/>
              </w:rPr>
              <w:t>Current Liabilities</w:t>
            </w:r>
          </w:p>
        </w:tc>
        <w:tc>
          <w:tcPr>
            <w:tcW w:w="1608"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b/>
                <w:bCs/>
                <w:color w:val="000000"/>
                <w:sz w:val="20"/>
                <w:lang w:eastAsia="en-GB"/>
              </w:rPr>
            </w:pPr>
            <w:r w:rsidRPr="0043359A">
              <w:rPr>
                <w:rFonts w:ascii="Verdana" w:hAnsi="Verdana"/>
                <w:b/>
                <w:bCs/>
                <w:color w:val="000000"/>
                <w:sz w:val="20"/>
                <w:lang w:eastAsia="en-GB"/>
              </w:rPr>
              <w:t> </w:t>
            </w:r>
          </w:p>
        </w:tc>
        <w:tc>
          <w:tcPr>
            <w:tcW w:w="283"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b/>
                <w:bCs/>
                <w:color w:val="000000"/>
                <w:sz w:val="20"/>
                <w:lang w:eastAsia="en-GB"/>
              </w:rPr>
            </w:pPr>
            <w:r w:rsidRPr="0043359A">
              <w:rPr>
                <w:rFonts w:ascii="Verdana" w:hAnsi="Verdana"/>
                <w:b/>
                <w:bCs/>
                <w:color w:val="000000"/>
                <w:sz w:val="20"/>
                <w:lang w:eastAsia="en-GB"/>
              </w:rPr>
              <w:t> </w:t>
            </w:r>
          </w:p>
        </w:tc>
        <w:tc>
          <w:tcPr>
            <w:tcW w:w="1536"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434"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r>
      <w:tr w:rsidRPr="0043359A" w:rsidR="0043359A" w:rsidTr="00BC2CBF">
        <w:trPr>
          <w:trHeight w:val="315"/>
        </w:trPr>
        <w:tc>
          <w:tcPr>
            <w:tcW w:w="434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ind w:right="192"/>
              <w:jc w:val="left"/>
              <w:textAlignment w:val="auto"/>
              <w:rPr>
                <w:rFonts w:ascii="Verdana" w:hAnsi="Verdana"/>
                <w:color w:val="000000"/>
                <w:sz w:val="20"/>
                <w:lang w:eastAsia="en-GB"/>
              </w:rPr>
            </w:pPr>
            <w:r w:rsidRPr="0043359A">
              <w:rPr>
                <w:rFonts w:ascii="Verdana" w:hAnsi="Verdana"/>
                <w:color w:val="000000"/>
                <w:sz w:val="20"/>
                <w:lang w:eastAsia="en-GB"/>
              </w:rPr>
              <w:t>Creditors: Amounts falling due within one year</w:t>
            </w:r>
          </w:p>
        </w:tc>
        <w:tc>
          <w:tcPr>
            <w:tcW w:w="1608"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10</w:t>
            </w:r>
          </w:p>
        </w:tc>
        <w:tc>
          <w:tcPr>
            <w:tcW w:w="283"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36" w:type="dxa"/>
            <w:tcBorders>
              <w:top w:val="nil"/>
              <w:left w:val="nil"/>
              <w:bottom w:val="nil"/>
              <w:right w:val="nil"/>
            </w:tcBorders>
            <w:shd w:val="clear" w:color="auto" w:fill="F2F2F2" w:themeFill="background1" w:themeFillShade="F2"/>
            <w:noWrap/>
            <w:vAlign w:val="center"/>
            <w:hideMark/>
          </w:tcPr>
          <w:p w:rsidRPr="00945337" w:rsidR="0043359A" w:rsidP="00945337" w:rsidRDefault="00945337">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(3</w:t>
            </w:r>
            <w:r w:rsidRPr="00945337" w:rsidR="0043359A">
              <w:rPr>
                <w:rFonts w:ascii="Verdana" w:hAnsi="Verdana"/>
                <w:sz w:val="20"/>
                <w:lang w:eastAsia="en-GB"/>
              </w:rPr>
              <w:t>,156,247</w:t>
            </w:r>
            <w:r w:rsidRPr="00945337">
              <w:rPr>
                <w:rFonts w:ascii="Verdana" w:hAnsi="Verdana"/>
                <w:sz w:val="20"/>
                <w:lang w:eastAsia="en-GB"/>
              </w:rPr>
              <w:t>)</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434" w:type="dxa"/>
            <w:tcBorders>
              <w:top w:val="nil"/>
              <w:left w:val="nil"/>
              <w:bottom w:val="nil"/>
              <w:right w:val="nil"/>
            </w:tcBorders>
            <w:shd w:val="clear" w:color="auto" w:fill="F2F2F2" w:themeFill="background1" w:themeFillShade="F2"/>
            <w:noWrap/>
            <w:vAlign w:val="center"/>
            <w:hideMark/>
          </w:tcPr>
          <w:p w:rsidRPr="00945337" w:rsidR="0043359A" w:rsidP="0043359A" w:rsidRDefault="00945337">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w:t>
            </w:r>
            <w:r w:rsidRPr="00945337" w:rsidR="0043359A">
              <w:rPr>
                <w:rFonts w:ascii="Verdana" w:hAnsi="Verdana"/>
                <w:sz w:val="20"/>
                <w:lang w:eastAsia="en-GB"/>
              </w:rPr>
              <w:t>1,713,404</w:t>
            </w:r>
            <w:r w:rsidRPr="00945337">
              <w:rPr>
                <w:rFonts w:ascii="Verdana" w:hAnsi="Verdana"/>
                <w:sz w:val="20"/>
                <w:lang w:eastAsia="en-GB"/>
              </w:rPr>
              <w:t>)</w:t>
            </w:r>
          </w:p>
        </w:tc>
      </w:tr>
      <w:tr w:rsidRPr="0043359A" w:rsidR="0043359A" w:rsidTr="00BC2CBF">
        <w:trPr>
          <w:trHeight w:val="315"/>
        </w:trPr>
        <w:tc>
          <w:tcPr>
            <w:tcW w:w="434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ind w:right="192"/>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608"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 </w:t>
            </w:r>
          </w:p>
        </w:tc>
        <w:tc>
          <w:tcPr>
            <w:tcW w:w="283"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36" w:type="dxa"/>
            <w:tcBorders>
              <w:top w:val="single" w:color="auto" w:sz="8" w:space="0"/>
              <w:left w:val="nil"/>
              <w:bottom w:val="single" w:color="auto" w:sz="8" w:space="0"/>
              <w:right w:val="nil"/>
            </w:tcBorders>
            <w:shd w:val="clear" w:color="auto" w:fill="F2F2F2" w:themeFill="background1" w:themeFillShade="F2"/>
            <w:noWrap/>
            <w:vAlign w:val="center"/>
            <w:hideMark/>
          </w:tcPr>
          <w:p w:rsidRPr="00945337" w:rsidR="0043359A" w:rsidP="0043359A" w:rsidRDefault="00945337">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w:t>
            </w:r>
            <w:r w:rsidRPr="00945337" w:rsidR="0043359A">
              <w:rPr>
                <w:rFonts w:ascii="Verdana" w:hAnsi="Verdana"/>
                <w:sz w:val="20"/>
                <w:lang w:eastAsia="en-GB"/>
              </w:rPr>
              <w:t>3,156,247</w:t>
            </w:r>
            <w:r w:rsidRPr="00945337">
              <w:rPr>
                <w:rFonts w:ascii="Verdana" w:hAnsi="Verdana"/>
                <w:sz w:val="20"/>
                <w:lang w:eastAsia="en-GB"/>
              </w:rPr>
              <w:t>)</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434" w:type="dxa"/>
            <w:tcBorders>
              <w:top w:val="single" w:color="auto" w:sz="8" w:space="0"/>
              <w:left w:val="nil"/>
              <w:bottom w:val="single" w:color="auto" w:sz="8" w:space="0"/>
              <w:right w:val="nil"/>
            </w:tcBorders>
            <w:shd w:val="clear" w:color="auto" w:fill="F2F2F2" w:themeFill="background1" w:themeFillShade="F2"/>
            <w:noWrap/>
            <w:vAlign w:val="center"/>
            <w:hideMark/>
          </w:tcPr>
          <w:p w:rsidRPr="00945337" w:rsidR="0043359A" w:rsidP="0043359A" w:rsidRDefault="00945337">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w:t>
            </w:r>
            <w:r w:rsidRPr="00945337" w:rsidR="0043359A">
              <w:rPr>
                <w:rFonts w:ascii="Verdana" w:hAnsi="Verdana"/>
                <w:sz w:val="20"/>
                <w:lang w:eastAsia="en-GB"/>
              </w:rPr>
              <w:t>1,713,404</w:t>
            </w:r>
            <w:r w:rsidRPr="00945337">
              <w:rPr>
                <w:rFonts w:ascii="Verdana" w:hAnsi="Verdana"/>
                <w:sz w:val="20"/>
                <w:lang w:eastAsia="en-GB"/>
              </w:rPr>
              <w:t>)</w:t>
            </w:r>
          </w:p>
        </w:tc>
      </w:tr>
      <w:tr w:rsidRPr="0043359A" w:rsidR="0043359A" w:rsidTr="00BC2CBF">
        <w:trPr>
          <w:trHeight w:val="300"/>
        </w:trPr>
        <w:tc>
          <w:tcPr>
            <w:tcW w:w="434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ind w:right="192"/>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608"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 </w:t>
            </w:r>
          </w:p>
        </w:tc>
        <w:tc>
          <w:tcPr>
            <w:tcW w:w="283"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36"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434"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r>
      <w:tr w:rsidRPr="0043359A" w:rsidR="0043359A" w:rsidTr="00BC2CBF">
        <w:trPr>
          <w:trHeight w:val="300"/>
        </w:trPr>
        <w:tc>
          <w:tcPr>
            <w:tcW w:w="434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ind w:right="192"/>
              <w:jc w:val="left"/>
              <w:textAlignment w:val="auto"/>
              <w:rPr>
                <w:rFonts w:ascii="Verdana" w:hAnsi="Verdana"/>
                <w:b/>
                <w:bCs/>
                <w:color w:val="000000"/>
                <w:sz w:val="20"/>
                <w:lang w:eastAsia="en-GB"/>
              </w:rPr>
            </w:pPr>
            <w:r w:rsidRPr="0043359A">
              <w:rPr>
                <w:rFonts w:ascii="Verdana" w:hAnsi="Verdana"/>
                <w:b/>
                <w:bCs/>
                <w:color w:val="000000"/>
                <w:sz w:val="20"/>
                <w:lang w:eastAsia="en-GB"/>
              </w:rPr>
              <w:t>Net Current Assets</w:t>
            </w:r>
          </w:p>
        </w:tc>
        <w:tc>
          <w:tcPr>
            <w:tcW w:w="1608"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b/>
                <w:bCs/>
                <w:color w:val="000000"/>
                <w:sz w:val="20"/>
                <w:lang w:eastAsia="en-GB"/>
              </w:rPr>
            </w:pPr>
            <w:r w:rsidRPr="0043359A">
              <w:rPr>
                <w:rFonts w:ascii="Verdana" w:hAnsi="Verdana"/>
                <w:b/>
                <w:bCs/>
                <w:color w:val="000000"/>
                <w:sz w:val="20"/>
                <w:lang w:eastAsia="en-GB"/>
              </w:rPr>
              <w:t> </w:t>
            </w:r>
          </w:p>
        </w:tc>
        <w:tc>
          <w:tcPr>
            <w:tcW w:w="283"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b/>
                <w:bCs/>
                <w:color w:val="000000"/>
                <w:sz w:val="20"/>
                <w:lang w:eastAsia="en-GB"/>
              </w:rPr>
            </w:pPr>
            <w:r w:rsidRPr="0043359A">
              <w:rPr>
                <w:rFonts w:ascii="Verdana" w:hAnsi="Verdana"/>
                <w:b/>
                <w:bCs/>
                <w:color w:val="000000"/>
                <w:sz w:val="20"/>
                <w:lang w:eastAsia="en-GB"/>
              </w:rPr>
              <w:t> </w:t>
            </w:r>
          </w:p>
        </w:tc>
        <w:tc>
          <w:tcPr>
            <w:tcW w:w="1536"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4,409,813</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434"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6,924,403</w:t>
            </w:r>
          </w:p>
        </w:tc>
      </w:tr>
      <w:tr w:rsidRPr="0043359A" w:rsidR="0043359A" w:rsidTr="00BC2CBF">
        <w:trPr>
          <w:trHeight w:val="300"/>
        </w:trPr>
        <w:tc>
          <w:tcPr>
            <w:tcW w:w="434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ind w:right="192"/>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608"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 </w:t>
            </w:r>
          </w:p>
        </w:tc>
        <w:tc>
          <w:tcPr>
            <w:tcW w:w="283"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36"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434"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r>
      <w:tr w:rsidRPr="0043359A" w:rsidR="0043359A" w:rsidTr="00BC2CBF">
        <w:trPr>
          <w:trHeight w:val="300"/>
        </w:trPr>
        <w:tc>
          <w:tcPr>
            <w:tcW w:w="434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ind w:right="192"/>
              <w:jc w:val="left"/>
              <w:textAlignment w:val="auto"/>
              <w:rPr>
                <w:rFonts w:ascii="Verdana" w:hAnsi="Verdana"/>
                <w:b/>
                <w:bCs/>
                <w:color w:val="000000"/>
                <w:sz w:val="20"/>
                <w:lang w:eastAsia="en-GB"/>
              </w:rPr>
            </w:pPr>
            <w:r w:rsidRPr="0043359A">
              <w:rPr>
                <w:rFonts w:ascii="Verdana" w:hAnsi="Verdana"/>
                <w:b/>
                <w:bCs/>
                <w:color w:val="000000"/>
                <w:sz w:val="20"/>
                <w:lang w:eastAsia="en-GB"/>
              </w:rPr>
              <w:t>Total Assets less Current Liabilities</w:t>
            </w:r>
          </w:p>
        </w:tc>
        <w:tc>
          <w:tcPr>
            <w:tcW w:w="1608"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b/>
                <w:bCs/>
                <w:color w:val="000000"/>
                <w:sz w:val="20"/>
                <w:lang w:eastAsia="en-GB"/>
              </w:rPr>
            </w:pPr>
            <w:r w:rsidRPr="0043359A">
              <w:rPr>
                <w:rFonts w:ascii="Verdana" w:hAnsi="Verdana"/>
                <w:b/>
                <w:bCs/>
                <w:color w:val="000000"/>
                <w:sz w:val="20"/>
                <w:lang w:eastAsia="en-GB"/>
              </w:rPr>
              <w:t> </w:t>
            </w:r>
          </w:p>
        </w:tc>
        <w:tc>
          <w:tcPr>
            <w:tcW w:w="283"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b/>
                <w:bCs/>
                <w:color w:val="000000"/>
                <w:sz w:val="20"/>
                <w:lang w:eastAsia="en-GB"/>
              </w:rPr>
            </w:pPr>
            <w:r w:rsidRPr="0043359A">
              <w:rPr>
                <w:rFonts w:ascii="Verdana" w:hAnsi="Verdana"/>
                <w:b/>
                <w:bCs/>
                <w:color w:val="000000"/>
                <w:sz w:val="20"/>
                <w:lang w:eastAsia="en-GB"/>
              </w:rPr>
              <w:t> </w:t>
            </w:r>
          </w:p>
        </w:tc>
        <w:tc>
          <w:tcPr>
            <w:tcW w:w="1536"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4,472,639</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434"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6,992,407</w:t>
            </w:r>
          </w:p>
        </w:tc>
      </w:tr>
      <w:tr w:rsidRPr="0043359A" w:rsidR="0043359A" w:rsidTr="00BC2CBF">
        <w:trPr>
          <w:trHeight w:val="300"/>
        </w:trPr>
        <w:tc>
          <w:tcPr>
            <w:tcW w:w="434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ind w:right="192"/>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608"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 </w:t>
            </w:r>
          </w:p>
        </w:tc>
        <w:tc>
          <w:tcPr>
            <w:tcW w:w="283"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36"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434"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r>
      <w:tr w:rsidRPr="0043359A" w:rsidR="0043359A" w:rsidTr="00BC2CBF">
        <w:trPr>
          <w:trHeight w:val="300"/>
        </w:trPr>
        <w:tc>
          <w:tcPr>
            <w:tcW w:w="434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ind w:right="192"/>
              <w:jc w:val="left"/>
              <w:textAlignment w:val="auto"/>
              <w:rPr>
                <w:rFonts w:ascii="Verdana" w:hAnsi="Verdana"/>
                <w:b/>
                <w:bCs/>
                <w:color w:val="000000"/>
                <w:sz w:val="20"/>
                <w:lang w:eastAsia="en-GB"/>
              </w:rPr>
            </w:pPr>
            <w:r w:rsidRPr="0043359A">
              <w:rPr>
                <w:rFonts w:ascii="Verdana" w:hAnsi="Verdana"/>
                <w:b/>
                <w:bCs/>
                <w:color w:val="000000"/>
                <w:sz w:val="20"/>
                <w:lang w:eastAsia="en-GB"/>
              </w:rPr>
              <w:t>Provisions for Liabilities</w:t>
            </w:r>
          </w:p>
        </w:tc>
        <w:tc>
          <w:tcPr>
            <w:tcW w:w="1608"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 </w:t>
            </w:r>
          </w:p>
        </w:tc>
        <w:tc>
          <w:tcPr>
            <w:tcW w:w="283"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36"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434"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r>
      <w:tr w:rsidRPr="0043359A" w:rsidR="0043359A" w:rsidTr="00BC2CBF">
        <w:trPr>
          <w:trHeight w:val="300"/>
        </w:trPr>
        <w:tc>
          <w:tcPr>
            <w:tcW w:w="434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ind w:right="192"/>
              <w:jc w:val="left"/>
              <w:textAlignment w:val="auto"/>
              <w:rPr>
                <w:rFonts w:ascii="Verdana" w:hAnsi="Verdana"/>
                <w:color w:val="000000"/>
                <w:sz w:val="20"/>
                <w:lang w:eastAsia="en-GB"/>
              </w:rPr>
            </w:pPr>
            <w:r w:rsidRPr="0043359A">
              <w:rPr>
                <w:rFonts w:ascii="Verdana" w:hAnsi="Verdana"/>
                <w:color w:val="000000"/>
                <w:sz w:val="20"/>
                <w:lang w:eastAsia="en-GB"/>
              </w:rPr>
              <w:t>Pension Liability</w:t>
            </w:r>
          </w:p>
        </w:tc>
        <w:tc>
          <w:tcPr>
            <w:tcW w:w="1608"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13</w:t>
            </w:r>
          </w:p>
        </w:tc>
        <w:tc>
          <w:tcPr>
            <w:tcW w:w="283"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36" w:type="dxa"/>
            <w:tcBorders>
              <w:top w:val="nil"/>
              <w:left w:val="nil"/>
              <w:bottom w:val="nil"/>
              <w:right w:val="nil"/>
            </w:tcBorders>
            <w:shd w:val="clear" w:color="auto" w:fill="F2F2F2" w:themeFill="background1" w:themeFillShade="F2"/>
            <w:noWrap/>
            <w:vAlign w:val="center"/>
            <w:hideMark/>
          </w:tcPr>
          <w:p w:rsidRPr="00945337" w:rsidR="0043359A" w:rsidP="0043359A" w:rsidRDefault="00945337">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w:t>
            </w:r>
            <w:r w:rsidRPr="00945337" w:rsidR="0043359A">
              <w:rPr>
                <w:rFonts w:ascii="Verdana" w:hAnsi="Verdana"/>
                <w:sz w:val="20"/>
                <w:lang w:eastAsia="en-GB"/>
              </w:rPr>
              <w:t>359,000</w:t>
            </w:r>
            <w:r w:rsidRPr="00945337">
              <w:rPr>
                <w:rFonts w:ascii="Verdana" w:hAnsi="Verdana"/>
                <w:sz w:val="20"/>
                <w:lang w:eastAsia="en-GB"/>
              </w:rPr>
              <w:t>)</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434" w:type="dxa"/>
            <w:tcBorders>
              <w:top w:val="nil"/>
              <w:left w:val="nil"/>
              <w:bottom w:val="nil"/>
              <w:right w:val="nil"/>
            </w:tcBorders>
            <w:shd w:val="clear" w:color="auto" w:fill="F2F2F2" w:themeFill="background1" w:themeFillShade="F2"/>
            <w:noWrap/>
            <w:vAlign w:val="center"/>
            <w:hideMark/>
          </w:tcPr>
          <w:p w:rsidRPr="00945337" w:rsidR="0043359A" w:rsidP="0043359A" w:rsidRDefault="00945337">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w:t>
            </w:r>
            <w:r w:rsidRPr="00945337" w:rsidR="0043359A">
              <w:rPr>
                <w:rFonts w:ascii="Verdana" w:hAnsi="Verdana"/>
                <w:sz w:val="20"/>
                <w:lang w:eastAsia="en-GB"/>
              </w:rPr>
              <w:t>734,000</w:t>
            </w:r>
            <w:r w:rsidRPr="00945337">
              <w:rPr>
                <w:rFonts w:ascii="Verdana" w:hAnsi="Verdana"/>
                <w:sz w:val="20"/>
                <w:lang w:eastAsia="en-GB"/>
              </w:rPr>
              <w:t>)</w:t>
            </w:r>
          </w:p>
        </w:tc>
      </w:tr>
      <w:tr w:rsidRPr="0043359A" w:rsidR="0043359A" w:rsidTr="00BC2CBF">
        <w:trPr>
          <w:trHeight w:val="300"/>
        </w:trPr>
        <w:tc>
          <w:tcPr>
            <w:tcW w:w="434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ind w:right="192"/>
              <w:jc w:val="left"/>
              <w:textAlignment w:val="auto"/>
              <w:rPr>
                <w:rFonts w:ascii="Verdana" w:hAnsi="Verdana"/>
                <w:color w:val="000000"/>
                <w:sz w:val="20"/>
                <w:lang w:eastAsia="en-GB"/>
              </w:rPr>
            </w:pPr>
            <w:r w:rsidRPr="0043359A">
              <w:rPr>
                <w:rFonts w:ascii="Verdana" w:hAnsi="Verdana"/>
                <w:color w:val="000000"/>
                <w:sz w:val="20"/>
                <w:lang w:eastAsia="en-GB"/>
              </w:rPr>
              <w:t>Other Provisions</w:t>
            </w:r>
          </w:p>
        </w:tc>
        <w:tc>
          <w:tcPr>
            <w:tcW w:w="1608"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11</w:t>
            </w:r>
          </w:p>
        </w:tc>
        <w:tc>
          <w:tcPr>
            <w:tcW w:w="283"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36" w:type="dxa"/>
            <w:tcBorders>
              <w:top w:val="nil"/>
              <w:left w:val="nil"/>
              <w:bottom w:val="nil"/>
              <w:right w:val="nil"/>
            </w:tcBorders>
            <w:shd w:val="clear" w:color="auto" w:fill="F2F2F2" w:themeFill="background1" w:themeFillShade="F2"/>
            <w:noWrap/>
            <w:vAlign w:val="center"/>
            <w:hideMark/>
          </w:tcPr>
          <w:p w:rsidRPr="00945337" w:rsidR="0043359A" w:rsidP="0043359A" w:rsidRDefault="00945337">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w:t>
            </w:r>
            <w:r w:rsidRPr="00945337" w:rsidR="0043359A">
              <w:rPr>
                <w:rFonts w:ascii="Verdana" w:hAnsi="Verdana"/>
                <w:sz w:val="20"/>
                <w:lang w:eastAsia="en-GB"/>
              </w:rPr>
              <w:t>892,174</w:t>
            </w:r>
            <w:r w:rsidRPr="00945337">
              <w:rPr>
                <w:rFonts w:ascii="Verdana" w:hAnsi="Verdana"/>
                <w:sz w:val="20"/>
                <w:lang w:eastAsia="en-GB"/>
              </w:rPr>
              <w:t>)</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434" w:type="dxa"/>
            <w:tcBorders>
              <w:top w:val="nil"/>
              <w:left w:val="nil"/>
              <w:bottom w:val="nil"/>
              <w:right w:val="nil"/>
            </w:tcBorders>
            <w:shd w:val="clear" w:color="auto" w:fill="F2F2F2" w:themeFill="background1" w:themeFillShade="F2"/>
            <w:noWrap/>
            <w:vAlign w:val="center"/>
            <w:hideMark/>
          </w:tcPr>
          <w:p w:rsidRPr="00945337" w:rsidR="0043359A" w:rsidP="0043359A" w:rsidRDefault="00945337">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w:t>
            </w:r>
            <w:r w:rsidRPr="00945337" w:rsidR="0043359A">
              <w:rPr>
                <w:rFonts w:ascii="Verdana" w:hAnsi="Verdana"/>
                <w:sz w:val="20"/>
                <w:lang w:eastAsia="en-GB"/>
              </w:rPr>
              <w:t>2,297,852</w:t>
            </w:r>
            <w:r w:rsidRPr="00945337">
              <w:rPr>
                <w:rFonts w:ascii="Verdana" w:hAnsi="Verdana"/>
                <w:sz w:val="20"/>
                <w:lang w:eastAsia="en-GB"/>
              </w:rPr>
              <w:t>)</w:t>
            </w:r>
          </w:p>
        </w:tc>
      </w:tr>
      <w:tr w:rsidRPr="0043359A" w:rsidR="0043359A" w:rsidTr="00BC2CBF">
        <w:trPr>
          <w:trHeight w:val="315"/>
        </w:trPr>
        <w:tc>
          <w:tcPr>
            <w:tcW w:w="434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ind w:right="192"/>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608"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 </w:t>
            </w:r>
          </w:p>
        </w:tc>
        <w:tc>
          <w:tcPr>
            <w:tcW w:w="283"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36"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434"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r>
      <w:tr w:rsidRPr="0043359A" w:rsidR="0043359A" w:rsidTr="00BC2CBF">
        <w:trPr>
          <w:trHeight w:val="315"/>
        </w:trPr>
        <w:tc>
          <w:tcPr>
            <w:tcW w:w="434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ind w:right="192"/>
              <w:jc w:val="left"/>
              <w:textAlignment w:val="auto"/>
              <w:rPr>
                <w:rFonts w:ascii="Verdana" w:hAnsi="Verdana"/>
                <w:b/>
                <w:bCs/>
                <w:color w:val="000000"/>
                <w:sz w:val="20"/>
                <w:lang w:eastAsia="en-GB"/>
              </w:rPr>
            </w:pPr>
            <w:r w:rsidRPr="0043359A">
              <w:rPr>
                <w:rFonts w:ascii="Verdana" w:hAnsi="Verdana"/>
                <w:b/>
                <w:bCs/>
                <w:color w:val="000000"/>
                <w:sz w:val="20"/>
                <w:lang w:eastAsia="en-GB"/>
              </w:rPr>
              <w:t>Net Assets</w:t>
            </w:r>
          </w:p>
        </w:tc>
        <w:tc>
          <w:tcPr>
            <w:tcW w:w="1608"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b/>
                <w:bCs/>
                <w:color w:val="000000"/>
                <w:sz w:val="20"/>
                <w:lang w:eastAsia="en-GB"/>
              </w:rPr>
            </w:pPr>
            <w:r w:rsidRPr="0043359A">
              <w:rPr>
                <w:rFonts w:ascii="Verdana" w:hAnsi="Verdana"/>
                <w:b/>
                <w:bCs/>
                <w:color w:val="000000"/>
                <w:sz w:val="20"/>
                <w:lang w:eastAsia="en-GB"/>
              </w:rPr>
              <w:t> </w:t>
            </w:r>
          </w:p>
        </w:tc>
        <w:tc>
          <w:tcPr>
            <w:tcW w:w="283"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b/>
                <w:bCs/>
                <w:color w:val="000000"/>
                <w:sz w:val="20"/>
                <w:lang w:eastAsia="en-GB"/>
              </w:rPr>
            </w:pPr>
            <w:r w:rsidRPr="0043359A">
              <w:rPr>
                <w:rFonts w:ascii="Verdana" w:hAnsi="Verdana"/>
                <w:b/>
                <w:bCs/>
                <w:color w:val="000000"/>
                <w:sz w:val="20"/>
                <w:lang w:eastAsia="en-GB"/>
              </w:rPr>
              <w:t> </w:t>
            </w:r>
          </w:p>
        </w:tc>
        <w:tc>
          <w:tcPr>
            <w:tcW w:w="1536" w:type="dxa"/>
            <w:tcBorders>
              <w:top w:val="single" w:color="auto" w:sz="8" w:space="0"/>
              <w:left w:val="nil"/>
              <w:bottom w:val="double" w:color="auto" w:sz="6" w:space="0"/>
              <w:right w:val="nil"/>
            </w:tcBorders>
            <w:shd w:val="clear" w:color="auto" w:fill="F2F2F2" w:themeFill="background1" w:themeFillShade="F2"/>
            <w:noWrap/>
            <w:vAlign w:val="center"/>
            <w:hideMark/>
          </w:tcPr>
          <w:p w:rsidRPr="0043359A" w:rsidR="0043359A" w:rsidP="009B21B7" w:rsidRDefault="0043359A">
            <w:pPr>
              <w:overflowPunct/>
              <w:autoSpaceDE/>
              <w:autoSpaceDN/>
              <w:adjustRightInd/>
              <w:jc w:val="right"/>
              <w:textAlignment w:val="auto"/>
              <w:rPr>
                <w:rFonts w:ascii="Verdana" w:hAnsi="Verdana"/>
                <w:color w:val="000000"/>
                <w:sz w:val="20"/>
                <w:lang w:eastAsia="en-GB"/>
              </w:rPr>
            </w:pPr>
            <w:r w:rsidRPr="0043359A">
              <w:rPr>
                <w:rFonts w:ascii="Verdana" w:hAnsi="Verdana"/>
                <w:color w:val="000000"/>
                <w:sz w:val="20"/>
                <w:lang w:eastAsia="en-GB"/>
              </w:rPr>
              <w:t>3,221,46</w:t>
            </w:r>
            <w:r w:rsidR="009B21B7">
              <w:rPr>
                <w:rFonts w:ascii="Verdana" w:hAnsi="Verdana"/>
                <w:color w:val="000000"/>
                <w:sz w:val="20"/>
                <w:lang w:eastAsia="en-GB"/>
              </w:rPr>
              <w:t>5</w:t>
            </w:r>
          </w:p>
        </w:tc>
        <w:tc>
          <w:tcPr>
            <w:tcW w:w="2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434" w:type="dxa"/>
            <w:tcBorders>
              <w:top w:val="single" w:color="auto" w:sz="8" w:space="0"/>
              <w:left w:val="nil"/>
              <w:bottom w:val="double" w:color="auto" w:sz="6" w:space="0"/>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right"/>
              <w:textAlignment w:val="auto"/>
              <w:rPr>
                <w:rFonts w:ascii="Verdana" w:hAnsi="Verdana"/>
                <w:color w:val="000000"/>
                <w:sz w:val="20"/>
                <w:lang w:eastAsia="en-GB"/>
              </w:rPr>
            </w:pPr>
            <w:r w:rsidRPr="0043359A">
              <w:rPr>
                <w:rFonts w:ascii="Verdana" w:hAnsi="Verdana"/>
                <w:color w:val="000000"/>
                <w:sz w:val="20"/>
                <w:lang w:eastAsia="en-GB"/>
              </w:rPr>
              <w:t>3,960,555</w:t>
            </w:r>
          </w:p>
        </w:tc>
      </w:tr>
      <w:tr w:rsidRPr="0043359A" w:rsidR="0043359A" w:rsidTr="00BC2CBF">
        <w:trPr>
          <w:trHeight w:val="330"/>
        </w:trPr>
        <w:tc>
          <w:tcPr>
            <w:tcW w:w="434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ind w:right="192"/>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608"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 </w:t>
            </w:r>
          </w:p>
        </w:tc>
        <w:tc>
          <w:tcPr>
            <w:tcW w:w="283"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3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2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434"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r>
      <w:tr w:rsidRPr="0043359A" w:rsidR="0043359A" w:rsidTr="00BC2CBF">
        <w:trPr>
          <w:trHeight w:val="315"/>
        </w:trPr>
        <w:tc>
          <w:tcPr>
            <w:tcW w:w="434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ind w:right="192"/>
              <w:jc w:val="left"/>
              <w:textAlignment w:val="auto"/>
              <w:rPr>
                <w:rFonts w:ascii="Verdana" w:hAnsi="Verdana"/>
                <w:b/>
                <w:bCs/>
                <w:color w:val="000000"/>
                <w:sz w:val="20"/>
                <w:lang w:eastAsia="en-GB"/>
              </w:rPr>
            </w:pPr>
            <w:r w:rsidRPr="0043359A">
              <w:rPr>
                <w:rFonts w:ascii="Verdana" w:hAnsi="Verdana"/>
                <w:b/>
                <w:bCs/>
                <w:color w:val="000000"/>
                <w:sz w:val="20"/>
                <w:lang w:eastAsia="en-GB"/>
              </w:rPr>
              <w:t>Capital &amp; Reserves</w:t>
            </w:r>
          </w:p>
        </w:tc>
        <w:tc>
          <w:tcPr>
            <w:tcW w:w="1608"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12 </w:t>
            </w:r>
          </w:p>
        </w:tc>
        <w:tc>
          <w:tcPr>
            <w:tcW w:w="283"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b/>
                <w:bCs/>
                <w:color w:val="000000"/>
                <w:sz w:val="20"/>
                <w:lang w:eastAsia="en-GB"/>
              </w:rPr>
            </w:pPr>
            <w:r w:rsidRPr="0043359A">
              <w:rPr>
                <w:rFonts w:ascii="Verdana" w:hAnsi="Verdana"/>
                <w:b/>
                <w:bCs/>
                <w:color w:val="000000"/>
                <w:sz w:val="20"/>
                <w:lang w:eastAsia="en-GB"/>
              </w:rPr>
              <w:t> </w:t>
            </w:r>
          </w:p>
        </w:tc>
        <w:tc>
          <w:tcPr>
            <w:tcW w:w="1536" w:type="dxa"/>
            <w:tcBorders>
              <w:top w:val="single" w:color="auto" w:sz="8" w:space="0"/>
              <w:left w:val="nil"/>
              <w:bottom w:val="double" w:color="auto" w:sz="6" w:space="0"/>
              <w:right w:val="nil"/>
            </w:tcBorders>
            <w:shd w:val="clear" w:color="auto" w:fill="F2F2F2" w:themeFill="background1" w:themeFillShade="F2"/>
            <w:noWrap/>
            <w:vAlign w:val="center"/>
            <w:hideMark/>
          </w:tcPr>
          <w:p w:rsidRPr="0043359A" w:rsidR="0043359A" w:rsidP="009B21B7" w:rsidRDefault="0043359A">
            <w:pPr>
              <w:overflowPunct/>
              <w:autoSpaceDE/>
              <w:autoSpaceDN/>
              <w:adjustRightInd/>
              <w:jc w:val="right"/>
              <w:textAlignment w:val="auto"/>
              <w:rPr>
                <w:rFonts w:ascii="Verdana" w:hAnsi="Verdana"/>
                <w:color w:val="000000"/>
                <w:sz w:val="20"/>
                <w:lang w:eastAsia="en-GB"/>
              </w:rPr>
            </w:pPr>
            <w:r w:rsidRPr="0043359A">
              <w:rPr>
                <w:rFonts w:ascii="Verdana" w:hAnsi="Verdana"/>
                <w:color w:val="000000"/>
                <w:sz w:val="20"/>
                <w:lang w:eastAsia="en-GB"/>
              </w:rPr>
              <w:t>3,221,46</w:t>
            </w:r>
            <w:r w:rsidR="009B21B7">
              <w:rPr>
                <w:rFonts w:ascii="Verdana" w:hAnsi="Verdana"/>
                <w:color w:val="000000"/>
                <w:sz w:val="20"/>
                <w:lang w:eastAsia="en-GB"/>
              </w:rPr>
              <w:t>5</w:t>
            </w:r>
          </w:p>
        </w:tc>
        <w:tc>
          <w:tcPr>
            <w:tcW w:w="2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434" w:type="dxa"/>
            <w:tcBorders>
              <w:top w:val="single" w:color="auto" w:sz="8" w:space="0"/>
              <w:left w:val="nil"/>
              <w:bottom w:val="double" w:color="auto" w:sz="6" w:space="0"/>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right"/>
              <w:textAlignment w:val="auto"/>
              <w:rPr>
                <w:rFonts w:ascii="Verdana" w:hAnsi="Verdana"/>
                <w:color w:val="000000"/>
                <w:sz w:val="20"/>
                <w:lang w:eastAsia="en-GB"/>
              </w:rPr>
            </w:pPr>
            <w:r w:rsidRPr="0043359A">
              <w:rPr>
                <w:rFonts w:ascii="Verdana" w:hAnsi="Verdana"/>
                <w:color w:val="000000"/>
                <w:sz w:val="20"/>
                <w:lang w:eastAsia="en-GB"/>
              </w:rPr>
              <w:t>3,960,555</w:t>
            </w:r>
          </w:p>
        </w:tc>
      </w:tr>
    </w:tbl>
    <w:p w:rsidRPr="008B41ED" w:rsidR="00CA4548" w:rsidP="00E9323C" w:rsidRDefault="00CA4548">
      <w:pPr>
        <w:ind w:right="737"/>
        <w:jc w:val="left"/>
        <w:rPr>
          <w:rFonts w:ascii="Verdana" w:hAnsi="Verdana" w:cs="Arial"/>
          <w:sz w:val="20"/>
          <w:highlight w:val="yellow"/>
        </w:rPr>
      </w:pPr>
    </w:p>
    <w:p w:rsidRPr="008B41ED" w:rsidR="00CA4548" w:rsidP="00E9323C" w:rsidRDefault="00CA4548">
      <w:pPr>
        <w:ind w:right="737"/>
        <w:jc w:val="left"/>
        <w:rPr>
          <w:rFonts w:ascii="Verdana" w:hAnsi="Verdana" w:cs="Arial"/>
          <w:sz w:val="20"/>
          <w:highlight w:val="yellow"/>
        </w:rPr>
      </w:pPr>
    </w:p>
    <w:p w:rsidRPr="003049C1" w:rsidR="00E9323C" w:rsidP="00E9323C" w:rsidRDefault="00ED4A15">
      <w:pPr>
        <w:ind w:right="737"/>
        <w:jc w:val="left"/>
        <w:rPr>
          <w:rFonts w:ascii="Verdana" w:hAnsi="Verdana" w:cs="Arial"/>
          <w:sz w:val="20"/>
        </w:rPr>
      </w:pPr>
      <w:r w:rsidRPr="003049C1">
        <w:rPr>
          <w:rFonts w:ascii="Verdana" w:hAnsi="Verdana" w:cs="Arial"/>
          <w:sz w:val="20"/>
        </w:rPr>
        <w:t xml:space="preserve">The notes on pages </w:t>
      </w:r>
      <w:r w:rsidRPr="003049C1" w:rsidR="003049C1">
        <w:rPr>
          <w:rFonts w:ascii="Verdana" w:hAnsi="Verdana" w:cs="Arial"/>
          <w:sz w:val="20"/>
        </w:rPr>
        <w:t>18 - 29</w:t>
      </w:r>
      <w:r w:rsidRPr="003049C1" w:rsidR="00D300B3">
        <w:rPr>
          <w:rFonts w:ascii="Verdana" w:hAnsi="Verdana" w:cs="Arial"/>
          <w:sz w:val="20"/>
        </w:rPr>
        <w:t xml:space="preserve"> </w:t>
      </w:r>
      <w:r w:rsidRPr="003049C1" w:rsidR="00E9323C">
        <w:rPr>
          <w:rFonts w:ascii="Verdana" w:hAnsi="Verdana" w:cs="Arial"/>
          <w:sz w:val="20"/>
        </w:rPr>
        <w:t xml:space="preserve">form part of these statements.  </w:t>
      </w:r>
    </w:p>
    <w:p w:rsidRPr="008B41ED" w:rsidR="00E9323C" w:rsidP="00B5241D" w:rsidRDefault="00E9323C">
      <w:pPr>
        <w:pStyle w:val="ACText"/>
        <w:spacing w:before="0"/>
        <w:ind w:right="595"/>
        <w:rPr>
          <w:rFonts w:ascii="Verdana" w:hAnsi="Verdana" w:cs="Arial"/>
          <w:highlight w:val="yellow"/>
        </w:rPr>
      </w:pPr>
    </w:p>
    <w:p w:rsidRPr="008B41ED" w:rsidR="00884DF7" w:rsidP="00884DF7" w:rsidRDefault="00884DF7">
      <w:pPr>
        <w:pStyle w:val="ACText"/>
        <w:spacing w:before="0"/>
        <w:ind w:right="595"/>
        <w:rPr>
          <w:rFonts w:ascii="Verdana" w:hAnsi="Verdana" w:cs="Arial"/>
          <w:highlight w:val="yellow"/>
        </w:rPr>
      </w:pPr>
      <w:r w:rsidRPr="008B41ED">
        <w:rPr>
          <w:rFonts w:ascii="Verdana" w:hAnsi="Verdana" w:cs="Arial"/>
          <w:highlight w:val="yellow"/>
        </w:rPr>
        <w:t xml:space="preserve">The financial statements were approved by the board </w:t>
      </w:r>
      <w:r w:rsidRPr="008B41ED" w:rsidR="007F17FF">
        <w:rPr>
          <w:rFonts w:ascii="Verdana" w:hAnsi="Verdana" w:cs="Arial"/>
          <w:highlight w:val="yellow"/>
        </w:rPr>
        <w:t xml:space="preserve">on </w:t>
      </w:r>
      <w:r w:rsidRPr="008B41ED" w:rsidR="002F4D06">
        <w:rPr>
          <w:rFonts w:ascii="Verdana" w:hAnsi="Verdana" w:cs="Arial"/>
          <w:highlight w:val="yellow"/>
        </w:rPr>
        <w:t>XXXXXX 201</w:t>
      </w:r>
      <w:r w:rsidR="00AB1242">
        <w:rPr>
          <w:rFonts w:ascii="Verdana" w:hAnsi="Verdana" w:cs="Arial"/>
          <w:highlight w:val="yellow"/>
        </w:rPr>
        <w:t>8</w:t>
      </w:r>
      <w:r w:rsidRPr="008B41ED" w:rsidR="007F17FF">
        <w:rPr>
          <w:rFonts w:ascii="Verdana" w:hAnsi="Verdana" w:cs="Arial"/>
          <w:highlight w:val="yellow"/>
        </w:rPr>
        <w:t xml:space="preserve"> </w:t>
      </w:r>
      <w:r w:rsidRPr="008B41ED">
        <w:rPr>
          <w:rFonts w:ascii="Verdana" w:hAnsi="Verdana" w:cs="Arial"/>
          <w:highlight w:val="yellow"/>
        </w:rPr>
        <w:t>and were signed on its behalf by:</w:t>
      </w:r>
    </w:p>
    <w:p w:rsidRPr="008B41ED" w:rsidR="00884DF7" w:rsidP="00884DF7" w:rsidRDefault="00884DF7">
      <w:pPr>
        <w:pStyle w:val="ACText"/>
        <w:rPr>
          <w:rFonts w:ascii="Arial" w:hAnsi="Arial" w:cs="Arial"/>
          <w:highlight w:val="yellow"/>
        </w:rPr>
      </w:pPr>
    </w:p>
    <w:p w:rsidRPr="008B41ED" w:rsidR="007410CF" w:rsidP="00884DF7" w:rsidRDefault="007410CF">
      <w:pPr>
        <w:pStyle w:val="ACText"/>
        <w:rPr>
          <w:rFonts w:ascii="Verdana" w:hAnsi="Verdana" w:cs="Arial"/>
          <w:highlight w:val="yellow"/>
        </w:rPr>
      </w:pPr>
    </w:p>
    <w:p w:rsidRPr="003049C1" w:rsidR="00D33F0A" w:rsidP="00884DF7" w:rsidRDefault="00D33F0A">
      <w:pPr>
        <w:pStyle w:val="ACText"/>
        <w:rPr>
          <w:rFonts w:ascii="Verdana" w:hAnsi="Verdana" w:cs="Arial"/>
        </w:rPr>
      </w:pPr>
    </w:p>
    <w:p w:rsidRPr="003049C1" w:rsidR="00884DF7" w:rsidP="00884DF7" w:rsidRDefault="00884DF7">
      <w:pPr>
        <w:pStyle w:val="ACText"/>
        <w:rPr>
          <w:rFonts w:ascii="Verdana" w:hAnsi="Verdana" w:cs="Arial"/>
        </w:rPr>
      </w:pPr>
      <w:r w:rsidRPr="003049C1">
        <w:rPr>
          <w:rFonts w:ascii="Verdana" w:hAnsi="Verdana" w:cs="Arial"/>
        </w:rPr>
        <w:t>Ann Lucas</w:t>
      </w:r>
    </w:p>
    <w:p w:rsidRPr="003049C1" w:rsidR="00884DF7" w:rsidP="00884DF7" w:rsidRDefault="00884DF7">
      <w:pPr>
        <w:rPr>
          <w:rFonts w:ascii="Verdana" w:hAnsi="Verdana"/>
          <w:sz w:val="20"/>
        </w:rPr>
      </w:pPr>
      <w:r w:rsidRPr="003049C1">
        <w:rPr>
          <w:rFonts w:ascii="Verdana" w:hAnsi="Verdana"/>
          <w:sz w:val="20"/>
        </w:rPr>
        <w:t>Chair</w:t>
      </w:r>
    </w:p>
    <w:p w:rsidRPr="003049C1" w:rsidR="00D33F0A" w:rsidP="007410CF" w:rsidRDefault="00884DF7">
      <w:pPr>
        <w:rPr>
          <w:rFonts w:ascii="Verdana" w:hAnsi="Verdana"/>
          <w:sz w:val="20"/>
        </w:rPr>
      </w:pPr>
      <w:r w:rsidRPr="003049C1">
        <w:rPr>
          <w:rFonts w:ascii="Verdana" w:hAnsi="Verdana"/>
          <w:sz w:val="20"/>
        </w:rPr>
        <w:t>Jack Dash House</w:t>
      </w:r>
      <w:r w:rsidRPr="003049C1" w:rsidR="00D33F0A">
        <w:rPr>
          <w:rFonts w:ascii="Verdana" w:hAnsi="Verdana"/>
          <w:sz w:val="20"/>
        </w:rPr>
        <w:t xml:space="preserve">, </w:t>
      </w:r>
      <w:r w:rsidRPr="003049C1">
        <w:rPr>
          <w:rFonts w:ascii="Verdana" w:hAnsi="Verdana"/>
          <w:sz w:val="20"/>
        </w:rPr>
        <w:t>2 Lawn House Close</w:t>
      </w:r>
      <w:r w:rsidRPr="003049C1" w:rsidR="00D33F0A">
        <w:rPr>
          <w:rFonts w:ascii="Verdana" w:hAnsi="Verdana"/>
          <w:sz w:val="20"/>
        </w:rPr>
        <w:t xml:space="preserve">, </w:t>
      </w:r>
      <w:r w:rsidRPr="003049C1">
        <w:rPr>
          <w:rFonts w:ascii="Verdana" w:hAnsi="Verdana"/>
          <w:sz w:val="20"/>
        </w:rPr>
        <w:t>London E14 9YQ</w:t>
      </w:r>
    </w:p>
    <w:p w:rsidRPr="003049C1" w:rsidR="00D33F0A" w:rsidP="007410CF" w:rsidRDefault="00D33F0A">
      <w:pPr>
        <w:rPr>
          <w:rFonts w:ascii="Verdana" w:hAnsi="Verdana"/>
          <w:sz w:val="20"/>
        </w:rPr>
      </w:pPr>
    </w:p>
    <w:p w:rsidRPr="003049C1" w:rsidR="00D33F0A" w:rsidP="007410CF" w:rsidRDefault="00D33F0A">
      <w:pPr>
        <w:rPr>
          <w:rFonts w:ascii="Verdana" w:hAnsi="Verdana"/>
          <w:sz w:val="20"/>
        </w:rPr>
      </w:pPr>
      <w:r w:rsidRPr="003049C1">
        <w:rPr>
          <w:rFonts w:ascii="Verdana" w:hAnsi="Verdana"/>
          <w:sz w:val="20"/>
        </w:rPr>
        <w:t>Reg. No. 06249790</w:t>
      </w:r>
    </w:p>
    <w:p w:rsidRPr="00967D10" w:rsidR="00E9305A" w:rsidP="00E9305A" w:rsidRDefault="00523C5F">
      <w:pPr>
        <w:pStyle w:val="ACSectionTOCHeading"/>
        <w:pageBreakBefore/>
        <w:rPr>
          <w:rFonts w:ascii="Verdana" w:hAnsi="Verdana" w:cs="Arial"/>
        </w:rPr>
      </w:pPr>
      <w:bookmarkStart w:name="_Toc360004350" w:id="60"/>
      <w:bookmarkStart w:name="_Toc372451434" w:id="61"/>
      <w:bookmarkStart w:name="_Toc372714805" w:id="62"/>
      <w:bookmarkStart w:name="_Toc373827143" w:id="63"/>
      <w:bookmarkStart w:name="_Toc374516819" w:id="64"/>
      <w:bookmarkStart w:name="_Toc379084161" w:id="65"/>
      <w:bookmarkStart w:name="_Toc379084667" w:id="66"/>
      <w:bookmarkStart w:name="_Toc379288020" w:id="67"/>
      <w:bookmarkStart w:name="_Toc379340744" w:id="68"/>
      <w:bookmarkStart w:name="_Toc379431140" w:id="69"/>
      <w:bookmarkStart w:name="_Toc386095961" w:id="70"/>
      <w:bookmarkStart w:name="_Toc386274268" w:id="71"/>
      <w:bookmarkStart w:name="_Toc457718240" w:id="72"/>
      <w:bookmarkStart w:name="_Toc533480464" w:id="73"/>
      <w:r w:rsidRPr="00967D10">
        <w:rPr>
          <w:rFonts w:ascii="Verdana" w:hAnsi="Verdana" w:cs="Arial"/>
        </w:rPr>
        <w:lastRenderedPageBreak/>
        <w:t>Statement of Cash Flows</w:t>
      </w:r>
    </w:p>
    <w:p w:rsidR="00E9305A" w:rsidP="00E9305A" w:rsidRDefault="00912ECE">
      <w:pPr>
        <w:pStyle w:val="ACSub-head"/>
        <w:rPr>
          <w:rFonts w:ascii="Verdana" w:hAnsi="Verdana" w:cs="Arial"/>
          <w:i w:val="0"/>
        </w:rPr>
      </w:pPr>
      <w:r w:rsidRPr="00967D10">
        <w:rPr>
          <w:rFonts w:ascii="Verdana" w:hAnsi="Verdana" w:cs="Arial"/>
          <w:i w:val="0"/>
        </w:rPr>
        <w:t>F</w:t>
      </w:r>
      <w:r w:rsidRPr="00967D10" w:rsidR="00E9305A">
        <w:rPr>
          <w:rFonts w:ascii="Verdana" w:hAnsi="Verdana" w:cs="Arial"/>
          <w:i w:val="0"/>
        </w:rPr>
        <w:t>or the year ended 31 March 201</w:t>
      </w:r>
      <w:r w:rsidR="00AB1242">
        <w:rPr>
          <w:rFonts w:ascii="Verdana" w:hAnsi="Verdana" w:cs="Arial"/>
          <w:i w:val="0"/>
        </w:rPr>
        <w:t>8</w:t>
      </w:r>
    </w:p>
    <w:p w:rsidRPr="00967D10" w:rsidR="000A6D8B" w:rsidP="00E9305A" w:rsidRDefault="000A6D8B">
      <w:pPr>
        <w:pStyle w:val="ACSub-head"/>
        <w:rPr>
          <w:rFonts w:ascii="Verdana" w:hAnsi="Verdana" w:cs="Arial"/>
          <w:i w:val="0"/>
        </w:rPr>
      </w:pPr>
    </w:p>
    <w:tbl>
      <w:tblPr>
        <w:tblW w:w="9498" w:type="dxa"/>
        <w:tblInd w:w="108" w:type="dxa"/>
        <w:tblLook w:val="04A0" w:firstRow="1" w:lastRow="0" w:firstColumn="1" w:lastColumn="0" w:noHBand="0" w:noVBand="1"/>
      </w:tblPr>
      <w:tblGrid>
        <w:gridCol w:w="4962"/>
        <w:gridCol w:w="866"/>
        <w:gridCol w:w="387"/>
        <w:gridCol w:w="1582"/>
        <w:gridCol w:w="287"/>
        <w:gridCol w:w="1414"/>
      </w:tblGrid>
      <w:tr w:rsidRPr="0043359A" w:rsidR="0043359A" w:rsidTr="00BC2CBF">
        <w:trPr>
          <w:trHeight w:val="289"/>
        </w:trPr>
        <w:tc>
          <w:tcPr>
            <w:tcW w:w="4962"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b/>
                <w:bCs/>
                <w:color w:val="000000"/>
                <w:sz w:val="20"/>
                <w:lang w:eastAsia="en-GB"/>
              </w:rPr>
            </w:pPr>
            <w:r w:rsidRPr="0043359A">
              <w:rPr>
                <w:rFonts w:ascii="Verdana" w:hAnsi="Verdana"/>
                <w:b/>
                <w:bCs/>
                <w:color w:val="000000"/>
                <w:sz w:val="20"/>
                <w:lang w:eastAsia="en-GB"/>
              </w:rPr>
              <w:t> </w:t>
            </w:r>
          </w:p>
        </w:tc>
        <w:tc>
          <w:tcPr>
            <w:tcW w:w="86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b/>
                <w:bCs/>
                <w:color w:val="000000"/>
                <w:sz w:val="20"/>
                <w:lang w:eastAsia="en-GB"/>
              </w:rPr>
            </w:pPr>
            <w:r w:rsidRPr="0043359A">
              <w:rPr>
                <w:rFonts w:ascii="Verdana" w:hAnsi="Verdana"/>
                <w:b/>
                <w:bCs/>
                <w:color w:val="000000"/>
                <w:sz w:val="20"/>
                <w:lang w:eastAsia="en-GB"/>
              </w:rPr>
              <w:t> </w:t>
            </w:r>
          </w:p>
        </w:tc>
        <w:tc>
          <w:tcPr>
            <w:tcW w:w="3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b/>
                <w:bCs/>
                <w:color w:val="000000"/>
                <w:sz w:val="20"/>
                <w:lang w:eastAsia="en-GB"/>
              </w:rPr>
            </w:pPr>
            <w:r w:rsidRPr="0043359A">
              <w:rPr>
                <w:rFonts w:ascii="Verdana" w:hAnsi="Verdana"/>
                <w:b/>
                <w:bCs/>
                <w:color w:val="000000"/>
                <w:sz w:val="20"/>
                <w:lang w:eastAsia="en-GB"/>
              </w:rPr>
              <w:t> </w:t>
            </w:r>
          </w:p>
        </w:tc>
        <w:tc>
          <w:tcPr>
            <w:tcW w:w="1582"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2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414"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r>
      <w:tr w:rsidRPr="0043359A" w:rsidR="0043359A" w:rsidTr="00BC2CBF">
        <w:trPr>
          <w:trHeight w:val="289"/>
        </w:trPr>
        <w:tc>
          <w:tcPr>
            <w:tcW w:w="4962"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86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b/>
                <w:bCs/>
                <w:color w:val="000000"/>
                <w:sz w:val="20"/>
                <w:lang w:eastAsia="en-GB"/>
              </w:rPr>
            </w:pPr>
            <w:r w:rsidRPr="0043359A">
              <w:rPr>
                <w:rFonts w:ascii="Verdana" w:hAnsi="Verdana"/>
                <w:b/>
                <w:bCs/>
                <w:color w:val="000000"/>
                <w:sz w:val="20"/>
                <w:lang w:eastAsia="en-GB"/>
              </w:rPr>
              <w:t>Notes</w:t>
            </w:r>
          </w:p>
        </w:tc>
        <w:tc>
          <w:tcPr>
            <w:tcW w:w="3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82" w:type="dxa"/>
            <w:tcBorders>
              <w:top w:val="nil"/>
              <w:left w:val="nil"/>
              <w:bottom w:val="nil"/>
              <w:right w:val="nil"/>
            </w:tcBorders>
            <w:shd w:val="clear" w:color="auto" w:fill="F2F2F2" w:themeFill="background1" w:themeFillShade="F2"/>
            <w:vAlign w:val="center"/>
            <w:hideMark/>
          </w:tcPr>
          <w:p w:rsidRPr="0043359A" w:rsidR="0043359A" w:rsidP="0043359A" w:rsidRDefault="0043359A">
            <w:pPr>
              <w:overflowPunct/>
              <w:autoSpaceDE/>
              <w:autoSpaceDN/>
              <w:adjustRightInd/>
              <w:jc w:val="right"/>
              <w:textAlignment w:val="auto"/>
              <w:rPr>
                <w:rFonts w:ascii="Verdana" w:hAnsi="Verdana"/>
                <w:b/>
                <w:bCs/>
                <w:color w:val="000000"/>
                <w:sz w:val="20"/>
                <w:lang w:eastAsia="en-GB"/>
              </w:rPr>
            </w:pPr>
            <w:r w:rsidRPr="0043359A">
              <w:rPr>
                <w:rFonts w:ascii="Verdana" w:hAnsi="Verdana"/>
                <w:b/>
                <w:bCs/>
                <w:color w:val="000000"/>
                <w:sz w:val="20"/>
                <w:lang w:eastAsia="en-GB"/>
              </w:rPr>
              <w:t>2017-18</w:t>
            </w:r>
          </w:p>
        </w:tc>
        <w:tc>
          <w:tcPr>
            <w:tcW w:w="287" w:type="dxa"/>
            <w:tcBorders>
              <w:top w:val="nil"/>
              <w:left w:val="nil"/>
              <w:bottom w:val="nil"/>
              <w:right w:val="nil"/>
            </w:tcBorders>
            <w:shd w:val="clear" w:color="auto" w:fill="F2F2F2" w:themeFill="background1" w:themeFillShade="F2"/>
            <w:vAlign w:val="center"/>
            <w:hideMark/>
          </w:tcPr>
          <w:p w:rsidRPr="0043359A" w:rsidR="0043359A" w:rsidP="0043359A" w:rsidRDefault="0043359A">
            <w:pPr>
              <w:overflowPunct/>
              <w:autoSpaceDE/>
              <w:autoSpaceDN/>
              <w:adjustRightInd/>
              <w:jc w:val="right"/>
              <w:textAlignment w:val="auto"/>
              <w:rPr>
                <w:rFonts w:ascii="Verdana" w:hAnsi="Verdana"/>
                <w:b/>
                <w:bCs/>
                <w:color w:val="000000"/>
                <w:sz w:val="20"/>
                <w:lang w:eastAsia="en-GB"/>
              </w:rPr>
            </w:pPr>
            <w:r w:rsidRPr="0043359A">
              <w:rPr>
                <w:rFonts w:ascii="Verdana" w:hAnsi="Verdana"/>
                <w:b/>
                <w:bCs/>
                <w:color w:val="000000"/>
                <w:sz w:val="20"/>
                <w:lang w:eastAsia="en-GB"/>
              </w:rPr>
              <w:t> </w:t>
            </w:r>
          </w:p>
        </w:tc>
        <w:tc>
          <w:tcPr>
            <w:tcW w:w="1414" w:type="dxa"/>
            <w:tcBorders>
              <w:top w:val="nil"/>
              <w:left w:val="nil"/>
              <w:bottom w:val="nil"/>
              <w:right w:val="nil"/>
            </w:tcBorders>
            <w:shd w:val="clear" w:color="auto" w:fill="F2F2F2" w:themeFill="background1" w:themeFillShade="F2"/>
            <w:vAlign w:val="center"/>
            <w:hideMark/>
          </w:tcPr>
          <w:p w:rsidRPr="0043359A" w:rsidR="0043359A" w:rsidP="0043359A" w:rsidRDefault="0043359A">
            <w:pPr>
              <w:overflowPunct/>
              <w:autoSpaceDE/>
              <w:autoSpaceDN/>
              <w:adjustRightInd/>
              <w:jc w:val="right"/>
              <w:textAlignment w:val="auto"/>
              <w:rPr>
                <w:rFonts w:ascii="Verdana" w:hAnsi="Verdana"/>
                <w:b/>
                <w:bCs/>
                <w:color w:val="000000"/>
                <w:sz w:val="20"/>
                <w:lang w:eastAsia="en-GB"/>
              </w:rPr>
            </w:pPr>
            <w:r w:rsidRPr="0043359A">
              <w:rPr>
                <w:rFonts w:ascii="Verdana" w:hAnsi="Verdana"/>
                <w:b/>
                <w:bCs/>
                <w:color w:val="000000"/>
                <w:sz w:val="20"/>
                <w:lang w:eastAsia="en-GB"/>
              </w:rPr>
              <w:t>2016-17</w:t>
            </w:r>
          </w:p>
        </w:tc>
      </w:tr>
      <w:tr w:rsidRPr="0043359A" w:rsidR="0043359A" w:rsidTr="00BC2CBF">
        <w:trPr>
          <w:trHeight w:val="300"/>
        </w:trPr>
        <w:tc>
          <w:tcPr>
            <w:tcW w:w="4962"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86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 </w:t>
            </w:r>
          </w:p>
        </w:tc>
        <w:tc>
          <w:tcPr>
            <w:tcW w:w="3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82"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right"/>
              <w:textAlignment w:val="auto"/>
              <w:rPr>
                <w:rFonts w:ascii="Verdana" w:hAnsi="Verdana"/>
                <w:b/>
                <w:bCs/>
                <w:color w:val="000000"/>
                <w:sz w:val="20"/>
                <w:lang w:eastAsia="en-GB"/>
              </w:rPr>
            </w:pPr>
            <w:r w:rsidRPr="0043359A">
              <w:rPr>
                <w:rFonts w:ascii="Verdana" w:hAnsi="Verdana"/>
                <w:b/>
                <w:bCs/>
                <w:color w:val="000000"/>
                <w:sz w:val="20"/>
                <w:lang w:eastAsia="en-GB"/>
              </w:rPr>
              <w:t xml:space="preserve"> £ </w:t>
            </w:r>
          </w:p>
        </w:tc>
        <w:tc>
          <w:tcPr>
            <w:tcW w:w="2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right"/>
              <w:textAlignment w:val="auto"/>
              <w:rPr>
                <w:rFonts w:ascii="Verdana" w:hAnsi="Verdana"/>
                <w:b/>
                <w:bCs/>
                <w:color w:val="000000"/>
                <w:sz w:val="20"/>
                <w:lang w:eastAsia="en-GB"/>
              </w:rPr>
            </w:pPr>
            <w:r w:rsidRPr="0043359A">
              <w:rPr>
                <w:rFonts w:ascii="Verdana" w:hAnsi="Verdana"/>
                <w:b/>
                <w:bCs/>
                <w:color w:val="000000"/>
                <w:sz w:val="20"/>
                <w:lang w:eastAsia="en-GB"/>
              </w:rPr>
              <w:t> </w:t>
            </w:r>
          </w:p>
        </w:tc>
        <w:tc>
          <w:tcPr>
            <w:tcW w:w="1414"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right"/>
              <w:textAlignment w:val="auto"/>
              <w:rPr>
                <w:rFonts w:ascii="Verdana" w:hAnsi="Verdana"/>
                <w:b/>
                <w:bCs/>
                <w:color w:val="000000"/>
                <w:sz w:val="20"/>
                <w:lang w:eastAsia="en-GB"/>
              </w:rPr>
            </w:pPr>
            <w:r w:rsidRPr="0043359A">
              <w:rPr>
                <w:rFonts w:ascii="Verdana" w:hAnsi="Verdana"/>
                <w:b/>
                <w:bCs/>
                <w:color w:val="000000"/>
                <w:sz w:val="20"/>
                <w:lang w:eastAsia="en-GB"/>
              </w:rPr>
              <w:t xml:space="preserve"> £ </w:t>
            </w:r>
          </w:p>
        </w:tc>
      </w:tr>
      <w:tr w:rsidRPr="0043359A" w:rsidR="0043359A" w:rsidTr="00BC2CBF">
        <w:trPr>
          <w:trHeight w:val="289"/>
        </w:trPr>
        <w:tc>
          <w:tcPr>
            <w:tcW w:w="4962"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b/>
                <w:bCs/>
                <w:color w:val="000000"/>
                <w:sz w:val="20"/>
                <w:lang w:eastAsia="en-GB"/>
              </w:rPr>
            </w:pPr>
            <w:r w:rsidRPr="0043359A">
              <w:rPr>
                <w:rFonts w:ascii="Verdana" w:hAnsi="Verdana"/>
                <w:b/>
                <w:bCs/>
                <w:color w:val="000000"/>
                <w:sz w:val="20"/>
                <w:lang w:eastAsia="en-GB"/>
              </w:rPr>
              <w:t>Cash flows from operating activities</w:t>
            </w:r>
          </w:p>
        </w:tc>
        <w:tc>
          <w:tcPr>
            <w:tcW w:w="86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b/>
                <w:bCs/>
                <w:color w:val="000000"/>
                <w:sz w:val="20"/>
                <w:lang w:eastAsia="en-GB"/>
              </w:rPr>
            </w:pPr>
            <w:r w:rsidRPr="0043359A">
              <w:rPr>
                <w:rFonts w:ascii="Verdana" w:hAnsi="Verdana"/>
                <w:b/>
                <w:bCs/>
                <w:color w:val="000000"/>
                <w:sz w:val="20"/>
                <w:lang w:eastAsia="en-GB"/>
              </w:rPr>
              <w:t> </w:t>
            </w:r>
          </w:p>
        </w:tc>
        <w:tc>
          <w:tcPr>
            <w:tcW w:w="3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b/>
                <w:bCs/>
                <w:color w:val="000000"/>
                <w:sz w:val="20"/>
                <w:lang w:eastAsia="en-GB"/>
              </w:rPr>
            </w:pPr>
            <w:r w:rsidRPr="0043359A">
              <w:rPr>
                <w:rFonts w:ascii="Verdana" w:hAnsi="Verdana"/>
                <w:b/>
                <w:bCs/>
                <w:color w:val="000000"/>
                <w:sz w:val="20"/>
                <w:lang w:eastAsia="en-GB"/>
              </w:rPr>
              <w:t> </w:t>
            </w:r>
          </w:p>
        </w:tc>
        <w:tc>
          <w:tcPr>
            <w:tcW w:w="1582"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2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414"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r>
      <w:tr w:rsidRPr="0043359A" w:rsidR="0043359A" w:rsidTr="00BC2CBF">
        <w:trPr>
          <w:trHeight w:val="289"/>
        </w:trPr>
        <w:tc>
          <w:tcPr>
            <w:tcW w:w="4962"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Operating profit for the financial year</w:t>
            </w:r>
          </w:p>
        </w:tc>
        <w:tc>
          <w:tcPr>
            <w:tcW w:w="86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 </w:t>
            </w:r>
          </w:p>
        </w:tc>
        <w:tc>
          <w:tcPr>
            <w:tcW w:w="3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82" w:type="dxa"/>
            <w:tcBorders>
              <w:top w:val="nil"/>
              <w:left w:val="nil"/>
              <w:bottom w:val="nil"/>
              <w:right w:val="nil"/>
            </w:tcBorders>
            <w:shd w:val="clear" w:color="auto" w:fill="F2F2F2" w:themeFill="background1" w:themeFillShade="F2"/>
            <w:noWrap/>
            <w:vAlign w:val="center"/>
            <w:hideMark/>
          </w:tcPr>
          <w:p w:rsidRPr="00945337" w:rsidR="0043359A" w:rsidP="0043359A" w:rsidRDefault="00B111FF">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w:t>
            </w:r>
            <w:r w:rsidRPr="00945337" w:rsidR="0043359A">
              <w:rPr>
                <w:rFonts w:ascii="Verdana" w:hAnsi="Verdana"/>
                <w:sz w:val="20"/>
                <w:lang w:eastAsia="en-GB"/>
              </w:rPr>
              <w:t>773,800</w:t>
            </w:r>
            <w:r w:rsidRPr="00945337">
              <w:rPr>
                <w:rFonts w:ascii="Verdana" w:hAnsi="Verdana"/>
                <w:sz w:val="20"/>
                <w:lang w:eastAsia="en-GB"/>
              </w:rPr>
              <w:t>)</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414" w:type="dxa"/>
            <w:tcBorders>
              <w:top w:val="nil"/>
              <w:left w:val="nil"/>
              <w:bottom w:val="nil"/>
              <w:right w:val="nil"/>
            </w:tcBorders>
            <w:shd w:val="clear" w:color="auto" w:fill="F2F2F2" w:themeFill="background1" w:themeFillShade="F2"/>
            <w:noWrap/>
            <w:vAlign w:val="center"/>
            <w:hideMark/>
          </w:tcPr>
          <w:p w:rsidRPr="00945337" w:rsidR="0043359A" w:rsidP="0043359A" w:rsidRDefault="00B111FF">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w:t>
            </w:r>
            <w:r w:rsidRPr="00945337" w:rsidR="0043359A">
              <w:rPr>
                <w:rFonts w:ascii="Verdana" w:hAnsi="Verdana"/>
                <w:sz w:val="20"/>
                <w:lang w:eastAsia="en-GB"/>
              </w:rPr>
              <w:t>799,593</w:t>
            </w:r>
            <w:r w:rsidRPr="00945337">
              <w:rPr>
                <w:rFonts w:ascii="Verdana" w:hAnsi="Verdana"/>
                <w:sz w:val="20"/>
                <w:lang w:eastAsia="en-GB"/>
              </w:rPr>
              <w:t>)</w:t>
            </w:r>
          </w:p>
        </w:tc>
      </w:tr>
      <w:tr w:rsidRPr="0043359A" w:rsidR="0043359A" w:rsidTr="00BC2CBF">
        <w:trPr>
          <w:trHeight w:val="289"/>
        </w:trPr>
        <w:tc>
          <w:tcPr>
            <w:tcW w:w="4962"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Adjustments for:</w:t>
            </w:r>
          </w:p>
        </w:tc>
        <w:tc>
          <w:tcPr>
            <w:tcW w:w="86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 </w:t>
            </w:r>
          </w:p>
        </w:tc>
        <w:tc>
          <w:tcPr>
            <w:tcW w:w="3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82"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414"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r>
      <w:tr w:rsidRPr="0043359A" w:rsidR="0043359A" w:rsidTr="00BC2CBF">
        <w:trPr>
          <w:trHeight w:val="289"/>
        </w:trPr>
        <w:tc>
          <w:tcPr>
            <w:tcW w:w="4962"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Depreciation of tangible assets</w:t>
            </w:r>
          </w:p>
        </w:tc>
        <w:tc>
          <w:tcPr>
            <w:tcW w:w="86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 </w:t>
            </w:r>
          </w:p>
        </w:tc>
        <w:tc>
          <w:tcPr>
            <w:tcW w:w="3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82"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39,620</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414"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41,210</w:t>
            </w:r>
          </w:p>
        </w:tc>
      </w:tr>
      <w:tr w:rsidRPr="0043359A" w:rsidR="0043359A" w:rsidTr="00BC2CBF">
        <w:trPr>
          <w:trHeight w:val="289"/>
        </w:trPr>
        <w:tc>
          <w:tcPr>
            <w:tcW w:w="4962"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Taxation</w:t>
            </w:r>
          </w:p>
        </w:tc>
        <w:tc>
          <w:tcPr>
            <w:tcW w:w="86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 </w:t>
            </w:r>
          </w:p>
        </w:tc>
        <w:tc>
          <w:tcPr>
            <w:tcW w:w="3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82" w:type="dxa"/>
            <w:tcBorders>
              <w:top w:val="nil"/>
              <w:left w:val="nil"/>
              <w:bottom w:val="nil"/>
              <w:right w:val="nil"/>
            </w:tcBorders>
            <w:shd w:val="clear" w:color="auto" w:fill="F2F2F2" w:themeFill="background1" w:themeFillShade="F2"/>
            <w:noWrap/>
            <w:vAlign w:val="center"/>
            <w:hideMark/>
          </w:tcPr>
          <w:p w:rsidRPr="00945337" w:rsidR="0043359A" w:rsidP="0043359A" w:rsidRDefault="00B111FF">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w:t>
            </w:r>
            <w:r w:rsidRPr="00945337" w:rsidR="0043359A">
              <w:rPr>
                <w:rFonts w:ascii="Verdana" w:hAnsi="Verdana"/>
                <w:sz w:val="20"/>
                <w:lang w:eastAsia="en-GB"/>
              </w:rPr>
              <w:t>8,678</w:t>
            </w:r>
            <w:r w:rsidRPr="00945337">
              <w:rPr>
                <w:rFonts w:ascii="Verdana" w:hAnsi="Verdana"/>
                <w:sz w:val="20"/>
                <w:lang w:eastAsia="en-GB"/>
              </w:rPr>
              <w:t>)</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414" w:type="dxa"/>
            <w:tcBorders>
              <w:top w:val="nil"/>
              <w:left w:val="nil"/>
              <w:bottom w:val="nil"/>
              <w:right w:val="nil"/>
            </w:tcBorders>
            <w:shd w:val="clear" w:color="auto" w:fill="F2F2F2" w:themeFill="background1" w:themeFillShade="F2"/>
            <w:noWrap/>
            <w:vAlign w:val="center"/>
            <w:hideMark/>
          </w:tcPr>
          <w:p w:rsidRPr="00945337" w:rsidR="0043359A" w:rsidP="00B111FF" w:rsidRDefault="00B111FF">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(1</w:t>
            </w:r>
            <w:r w:rsidRPr="00945337" w:rsidR="0043359A">
              <w:rPr>
                <w:rFonts w:ascii="Verdana" w:hAnsi="Verdana"/>
                <w:sz w:val="20"/>
                <w:lang w:eastAsia="en-GB"/>
              </w:rPr>
              <w:t>4,477</w:t>
            </w:r>
            <w:r w:rsidRPr="00945337">
              <w:rPr>
                <w:rFonts w:ascii="Verdana" w:hAnsi="Verdana"/>
                <w:sz w:val="20"/>
                <w:lang w:eastAsia="en-GB"/>
              </w:rPr>
              <w:t>)</w:t>
            </w:r>
          </w:p>
        </w:tc>
      </w:tr>
      <w:tr w:rsidRPr="0043359A" w:rsidR="0043359A" w:rsidTr="00BC2CBF">
        <w:trPr>
          <w:trHeight w:val="289"/>
        </w:trPr>
        <w:tc>
          <w:tcPr>
            <w:tcW w:w="4962"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Decrease/(increase) in debtors</w:t>
            </w:r>
          </w:p>
        </w:tc>
        <w:tc>
          <w:tcPr>
            <w:tcW w:w="86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 </w:t>
            </w:r>
          </w:p>
        </w:tc>
        <w:tc>
          <w:tcPr>
            <w:tcW w:w="3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82" w:type="dxa"/>
            <w:tcBorders>
              <w:top w:val="nil"/>
              <w:left w:val="nil"/>
              <w:bottom w:val="nil"/>
              <w:right w:val="nil"/>
            </w:tcBorders>
            <w:shd w:val="clear" w:color="auto" w:fill="F2F2F2" w:themeFill="background1" w:themeFillShade="F2"/>
            <w:noWrap/>
            <w:vAlign w:val="center"/>
            <w:hideMark/>
          </w:tcPr>
          <w:p w:rsidRPr="00945337" w:rsidR="0043359A" w:rsidP="0043359A" w:rsidRDefault="00B111FF">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w:t>
            </w:r>
            <w:r w:rsidRPr="00945337" w:rsidR="0043359A">
              <w:rPr>
                <w:rFonts w:ascii="Verdana" w:hAnsi="Verdana"/>
                <w:sz w:val="20"/>
                <w:lang w:eastAsia="en-GB"/>
              </w:rPr>
              <w:t>676,734</w:t>
            </w:r>
            <w:r w:rsidRPr="00945337">
              <w:rPr>
                <w:rFonts w:ascii="Verdana" w:hAnsi="Verdana"/>
                <w:sz w:val="20"/>
                <w:lang w:eastAsia="en-GB"/>
              </w:rPr>
              <w:t>)</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414" w:type="dxa"/>
            <w:tcBorders>
              <w:top w:val="nil"/>
              <w:left w:val="nil"/>
              <w:bottom w:val="nil"/>
              <w:right w:val="nil"/>
            </w:tcBorders>
            <w:shd w:val="clear" w:color="auto" w:fill="F2F2F2" w:themeFill="background1" w:themeFillShade="F2"/>
            <w:noWrap/>
            <w:vAlign w:val="center"/>
            <w:hideMark/>
          </w:tcPr>
          <w:p w:rsidRPr="00945337" w:rsidR="0043359A" w:rsidP="0043359A" w:rsidRDefault="00B111FF">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w:t>
            </w:r>
            <w:r w:rsidRPr="00945337" w:rsidR="0043359A">
              <w:rPr>
                <w:rFonts w:ascii="Verdana" w:hAnsi="Verdana"/>
                <w:sz w:val="20"/>
                <w:lang w:eastAsia="en-GB"/>
              </w:rPr>
              <w:t>3,672</w:t>
            </w:r>
            <w:r w:rsidRPr="00945337">
              <w:rPr>
                <w:rFonts w:ascii="Verdana" w:hAnsi="Verdana"/>
                <w:sz w:val="20"/>
                <w:lang w:eastAsia="en-GB"/>
              </w:rPr>
              <w:t>)</w:t>
            </w:r>
          </w:p>
        </w:tc>
      </w:tr>
      <w:tr w:rsidRPr="0043359A" w:rsidR="0043359A" w:rsidTr="00BC2CBF">
        <w:trPr>
          <w:trHeight w:val="289"/>
        </w:trPr>
        <w:tc>
          <w:tcPr>
            <w:tcW w:w="4962"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(Decrease)/increase in creditors</w:t>
            </w:r>
          </w:p>
        </w:tc>
        <w:tc>
          <w:tcPr>
            <w:tcW w:w="86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 </w:t>
            </w:r>
          </w:p>
        </w:tc>
        <w:tc>
          <w:tcPr>
            <w:tcW w:w="3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82"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1,442,843</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414"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9,569</w:t>
            </w:r>
          </w:p>
        </w:tc>
      </w:tr>
      <w:tr w:rsidRPr="0043359A" w:rsidR="0043359A" w:rsidTr="00BC2CBF">
        <w:trPr>
          <w:trHeight w:val="289"/>
        </w:trPr>
        <w:tc>
          <w:tcPr>
            <w:tcW w:w="4962"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Increase/(decrease) in provisions</w:t>
            </w:r>
          </w:p>
        </w:tc>
        <w:tc>
          <w:tcPr>
            <w:tcW w:w="86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 </w:t>
            </w:r>
          </w:p>
        </w:tc>
        <w:tc>
          <w:tcPr>
            <w:tcW w:w="3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82" w:type="dxa"/>
            <w:tcBorders>
              <w:top w:val="nil"/>
              <w:left w:val="nil"/>
              <w:bottom w:val="nil"/>
              <w:right w:val="nil"/>
            </w:tcBorders>
            <w:shd w:val="clear" w:color="auto" w:fill="F2F2F2" w:themeFill="background1" w:themeFillShade="F2"/>
            <w:noWrap/>
            <w:vAlign w:val="center"/>
            <w:hideMark/>
          </w:tcPr>
          <w:p w:rsidRPr="00945337" w:rsidR="0043359A" w:rsidP="0043359A" w:rsidRDefault="00B111FF">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w:t>
            </w:r>
            <w:r w:rsidRPr="00945337" w:rsidR="0043359A">
              <w:rPr>
                <w:rFonts w:ascii="Verdana" w:hAnsi="Verdana"/>
                <w:sz w:val="20"/>
                <w:lang w:eastAsia="en-GB"/>
              </w:rPr>
              <w:t>1,405,678</w:t>
            </w:r>
            <w:r w:rsidRPr="00945337">
              <w:rPr>
                <w:rFonts w:ascii="Verdana" w:hAnsi="Verdana"/>
                <w:sz w:val="20"/>
                <w:lang w:eastAsia="en-GB"/>
              </w:rPr>
              <w:t>)</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414"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797,038</w:t>
            </w:r>
          </w:p>
        </w:tc>
      </w:tr>
      <w:tr w:rsidRPr="0043359A" w:rsidR="0043359A" w:rsidTr="00BC2CBF">
        <w:trPr>
          <w:trHeight w:val="315"/>
        </w:trPr>
        <w:tc>
          <w:tcPr>
            <w:tcW w:w="4962"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(Profit)/loss on disposals</w:t>
            </w:r>
          </w:p>
        </w:tc>
        <w:tc>
          <w:tcPr>
            <w:tcW w:w="86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 </w:t>
            </w:r>
          </w:p>
        </w:tc>
        <w:tc>
          <w:tcPr>
            <w:tcW w:w="3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82"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692</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414"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325</w:t>
            </w:r>
          </w:p>
        </w:tc>
      </w:tr>
      <w:tr w:rsidRPr="0043359A" w:rsidR="0043359A" w:rsidTr="00BC2CBF">
        <w:trPr>
          <w:trHeight w:val="315"/>
        </w:trPr>
        <w:tc>
          <w:tcPr>
            <w:tcW w:w="4962"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b/>
                <w:bCs/>
                <w:color w:val="000000"/>
                <w:sz w:val="20"/>
                <w:lang w:eastAsia="en-GB"/>
              </w:rPr>
            </w:pPr>
            <w:r w:rsidRPr="0043359A">
              <w:rPr>
                <w:rFonts w:ascii="Verdana" w:hAnsi="Verdana"/>
                <w:b/>
                <w:bCs/>
                <w:color w:val="000000"/>
                <w:sz w:val="20"/>
                <w:lang w:eastAsia="en-GB"/>
              </w:rPr>
              <w:t>Net cash from operating activities</w:t>
            </w:r>
          </w:p>
        </w:tc>
        <w:tc>
          <w:tcPr>
            <w:tcW w:w="86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b/>
                <w:bCs/>
                <w:color w:val="000000"/>
                <w:sz w:val="20"/>
                <w:lang w:eastAsia="en-GB"/>
              </w:rPr>
            </w:pPr>
            <w:r w:rsidRPr="0043359A">
              <w:rPr>
                <w:rFonts w:ascii="Verdana" w:hAnsi="Verdana"/>
                <w:b/>
                <w:bCs/>
                <w:color w:val="000000"/>
                <w:sz w:val="20"/>
                <w:lang w:eastAsia="en-GB"/>
              </w:rPr>
              <w:t> </w:t>
            </w:r>
          </w:p>
        </w:tc>
        <w:tc>
          <w:tcPr>
            <w:tcW w:w="3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b/>
                <w:bCs/>
                <w:color w:val="000000"/>
                <w:sz w:val="20"/>
                <w:lang w:eastAsia="en-GB"/>
              </w:rPr>
            </w:pPr>
            <w:r w:rsidRPr="0043359A">
              <w:rPr>
                <w:rFonts w:ascii="Verdana" w:hAnsi="Verdana"/>
                <w:b/>
                <w:bCs/>
                <w:color w:val="000000"/>
                <w:sz w:val="20"/>
                <w:lang w:eastAsia="en-GB"/>
              </w:rPr>
              <w:t> </w:t>
            </w:r>
          </w:p>
        </w:tc>
        <w:tc>
          <w:tcPr>
            <w:tcW w:w="1582" w:type="dxa"/>
            <w:tcBorders>
              <w:top w:val="single" w:color="auto" w:sz="8" w:space="0"/>
              <w:left w:val="nil"/>
              <w:bottom w:val="single" w:color="auto" w:sz="8" w:space="0"/>
              <w:right w:val="nil"/>
            </w:tcBorders>
            <w:shd w:val="clear" w:color="auto" w:fill="F2F2F2" w:themeFill="background1" w:themeFillShade="F2"/>
            <w:noWrap/>
            <w:vAlign w:val="center"/>
            <w:hideMark/>
          </w:tcPr>
          <w:p w:rsidRPr="00945337" w:rsidR="0043359A" w:rsidP="0043359A" w:rsidRDefault="00945337">
            <w:pPr>
              <w:overflowPunct/>
              <w:autoSpaceDE/>
              <w:autoSpaceDN/>
              <w:adjustRightInd/>
              <w:jc w:val="right"/>
              <w:textAlignment w:val="auto"/>
              <w:rPr>
                <w:rFonts w:ascii="Verdana" w:hAnsi="Verdana"/>
                <w:sz w:val="20"/>
                <w:lang w:eastAsia="en-GB"/>
              </w:rPr>
            </w:pPr>
            <w:r>
              <w:rPr>
                <w:rFonts w:ascii="Verdana" w:hAnsi="Verdana"/>
                <w:sz w:val="20"/>
                <w:lang w:eastAsia="en-GB"/>
              </w:rPr>
              <w:t>(</w:t>
            </w:r>
            <w:r w:rsidR="002B4DB8">
              <w:rPr>
                <w:rFonts w:ascii="Verdana" w:hAnsi="Verdana"/>
                <w:sz w:val="20"/>
                <w:lang w:eastAsia="en-GB"/>
              </w:rPr>
              <w:t>1,381,735</w:t>
            </w:r>
            <w:r>
              <w:rPr>
                <w:rFonts w:ascii="Verdana" w:hAnsi="Verdana"/>
                <w:sz w:val="20"/>
                <w:lang w:eastAsia="en-GB"/>
              </w:rPr>
              <w:t>)</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414" w:type="dxa"/>
            <w:tcBorders>
              <w:top w:val="single" w:color="auto" w:sz="8" w:space="0"/>
              <w:left w:val="nil"/>
              <w:bottom w:val="single" w:color="auto" w:sz="8" w:space="0"/>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30,400</w:t>
            </w:r>
          </w:p>
        </w:tc>
      </w:tr>
      <w:tr w:rsidRPr="0043359A" w:rsidR="0043359A" w:rsidTr="00BC2CBF">
        <w:trPr>
          <w:trHeight w:val="300"/>
        </w:trPr>
        <w:tc>
          <w:tcPr>
            <w:tcW w:w="4962"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86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 </w:t>
            </w:r>
          </w:p>
        </w:tc>
        <w:tc>
          <w:tcPr>
            <w:tcW w:w="3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82"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414"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r>
      <w:tr w:rsidRPr="0043359A" w:rsidR="0043359A" w:rsidTr="00BC2CBF">
        <w:trPr>
          <w:trHeight w:val="300"/>
        </w:trPr>
        <w:tc>
          <w:tcPr>
            <w:tcW w:w="4962"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b/>
                <w:bCs/>
                <w:color w:val="000000"/>
                <w:sz w:val="20"/>
                <w:lang w:eastAsia="en-GB"/>
              </w:rPr>
            </w:pPr>
            <w:r w:rsidRPr="0043359A">
              <w:rPr>
                <w:rFonts w:ascii="Verdana" w:hAnsi="Verdana"/>
                <w:b/>
                <w:bCs/>
                <w:color w:val="000000"/>
                <w:sz w:val="20"/>
                <w:lang w:eastAsia="en-GB"/>
              </w:rPr>
              <w:t>Cash flows from investing activities</w:t>
            </w:r>
          </w:p>
        </w:tc>
        <w:tc>
          <w:tcPr>
            <w:tcW w:w="86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b/>
                <w:bCs/>
                <w:color w:val="000000"/>
                <w:sz w:val="20"/>
                <w:lang w:eastAsia="en-GB"/>
              </w:rPr>
            </w:pPr>
            <w:r w:rsidRPr="0043359A">
              <w:rPr>
                <w:rFonts w:ascii="Verdana" w:hAnsi="Verdana"/>
                <w:b/>
                <w:bCs/>
                <w:color w:val="000000"/>
                <w:sz w:val="20"/>
                <w:lang w:eastAsia="en-GB"/>
              </w:rPr>
              <w:t> </w:t>
            </w:r>
          </w:p>
        </w:tc>
        <w:tc>
          <w:tcPr>
            <w:tcW w:w="3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b/>
                <w:bCs/>
                <w:color w:val="000000"/>
                <w:sz w:val="20"/>
                <w:lang w:eastAsia="en-GB"/>
              </w:rPr>
            </w:pPr>
            <w:r w:rsidRPr="0043359A">
              <w:rPr>
                <w:rFonts w:ascii="Verdana" w:hAnsi="Verdana"/>
                <w:b/>
                <w:bCs/>
                <w:color w:val="000000"/>
                <w:sz w:val="20"/>
                <w:lang w:eastAsia="en-GB"/>
              </w:rPr>
              <w:t> </w:t>
            </w:r>
          </w:p>
        </w:tc>
        <w:tc>
          <w:tcPr>
            <w:tcW w:w="1582"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414"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r>
      <w:tr w:rsidRPr="0043359A" w:rsidR="0043359A" w:rsidTr="00BC2CBF">
        <w:trPr>
          <w:trHeight w:val="315"/>
        </w:trPr>
        <w:tc>
          <w:tcPr>
            <w:tcW w:w="4962"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Purchases of tangible assets</w:t>
            </w:r>
          </w:p>
        </w:tc>
        <w:tc>
          <w:tcPr>
            <w:tcW w:w="86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8</w:t>
            </w:r>
          </w:p>
        </w:tc>
        <w:tc>
          <w:tcPr>
            <w:tcW w:w="3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82" w:type="dxa"/>
            <w:tcBorders>
              <w:top w:val="nil"/>
              <w:left w:val="nil"/>
              <w:bottom w:val="nil"/>
              <w:right w:val="nil"/>
            </w:tcBorders>
            <w:shd w:val="clear" w:color="auto" w:fill="F2F2F2" w:themeFill="background1" w:themeFillShade="F2"/>
            <w:noWrap/>
            <w:vAlign w:val="center"/>
            <w:hideMark/>
          </w:tcPr>
          <w:p w:rsidRPr="00945337" w:rsidR="0043359A" w:rsidP="0043359A" w:rsidRDefault="00B111FF">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w:t>
            </w:r>
            <w:r w:rsidRPr="00945337" w:rsidR="0043359A">
              <w:rPr>
                <w:rFonts w:ascii="Verdana" w:hAnsi="Verdana"/>
                <w:sz w:val="20"/>
                <w:lang w:eastAsia="en-GB"/>
              </w:rPr>
              <w:t>35,134</w:t>
            </w:r>
            <w:r w:rsidRPr="00945337">
              <w:rPr>
                <w:rFonts w:ascii="Verdana" w:hAnsi="Verdana"/>
                <w:sz w:val="20"/>
                <w:lang w:eastAsia="en-GB"/>
              </w:rPr>
              <w:t>)</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414" w:type="dxa"/>
            <w:tcBorders>
              <w:top w:val="nil"/>
              <w:left w:val="nil"/>
              <w:bottom w:val="nil"/>
              <w:right w:val="nil"/>
            </w:tcBorders>
            <w:shd w:val="clear" w:color="auto" w:fill="F2F2F2" w:themeFill="background1" w:themeFillShade="F2"/>
            <w:noWrap/>
            <w:vAlign w:val="center"/>
            <w:hideMark/>
          </w:tcPr>
          <w:p w:rsidRPr="00945337" w:rsidR="0043359A" w:rsidP="00B111FF" w:rsidRDefault="00B111FF">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w:t>
            </w:r>
            <w:r w:rsidRPr="00945337" w:rsidR="0043359A">
              <w:rPr>
                <w:rFonts w:ascii="Verdana" w:hAnsi="Verdana"/>
                <w:sz w:val="20"/>
                <w:lang w:eastAsia="en-GB"/>
              </w:rPr>
              <w:t>26,862</w:t>
            </w:r>
            <w:r w:rsidRPr="00945337">
              <w:rPr>
                <w:rFonts w:ascii="Verdana" w:hAnsi="Verdana"/>
                <w:sz w:val="20"/>
                <w:lang w:eastAsia="en-GB"/>
              </w:rPr>
              <w:t>)</w:t>
            </w:r>
          </w:p>
        </w:tc>
      </w:tr>
      <w:tr w:rsidRPr="0043359A" w:rsidR="0043359A" w:rsidTr="00BC2CBF">
        <w:trPr>
          <w:trHeight w:val="315"/>
        </w:trPr>
        <w:tc>
          <w:tcPr>
            <w:tcW w:w="4962"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b/>
                <w:bCs/>
                <w:color w:val="000000"/>
                <w:sz w:val="20"/>
                <w:lang w:eastAsia="en-GB"/>
              </w:rPr>
            </w:pPr>
            <w:r w:rsidRPr="0043359A">
              <w:rPr>
                <w:rFonts w:ascii="Verdana" w:hAnsi="Verdana"/>
                <w:b/>
                <w:bCs/>
                <w:color w:val="000000"/>
                <w:sz w:val="20"/>
                <w:lang w:eastAsia="en-GB"/>
              </w:rPr>
              <w:t>Net cash from investing activities</w:t>
            </w:r>
          </w:p>
        </w:tc>
        <w:tc>
          <w:tcPr>
            <w:tcW w:w="86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 </w:t>
            </w:r>
          </w:p>
        </w:tc>
        <w:tc>
          <w:tcPr>
            <w:tcW w:w="3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82" w:type="dxa"/>
            <w:tcBorders>
              <w:top w:val="single" w:color="auto" w:sz="8" w:space="0"/>
              <w:left w:val="nil"/>
              <w:bottom w:val="single" w:color="auto" w:sz="8" w:space="0"/>
              <w:right w:val="nil"/>
            </w:tcBorders>
            <w:shd w:val="clear" w:color="auto" w:fill="F2F2F2" w:themeFill="background1" w:themeFillShade="F2"/>
            <w:noWrap/>
            <w:vAlign w:val="center"/>
            <w:hideMark/>
          </w:tcPr>
          <w:p w:rsidRPr="00945337" w:rsidR="0043359A" w:rsidP="0043359A" w:rsidRDefault="00B111FF">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w:t>
            </w:r>
            <w:r w:rsidRPr="00945337" w:rsidR="0043359A">
              <w:rPr>
                <w:rFonts w:ascii="Verdana" w:hAnsi="Verdana"/>
                <w:sz w:val="20"/>
                <w:lang w:eastAsia="en-GB"/>
              </w:rPr>
              <w:t>35,134</w:t>
            </w:r>
            <w:r w:rsidRPr="00945337">
              <w:rPr>
                <w:rFonts w:ascii="Verdana" w:hAnsi="Verdana"/>
                <w:sz w:val="20"/>
                <w:lang w:eastAsia="en-GB"/>
              </w:rPr>
              <w:t>)</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414" w:type="dxa"/>
            <w:tcBorders>
              <w:top w:val="single" w:color="auto" w:sz="8" w:space="0"/>
              <w:left w:val="nil"/>
              <w:bottom w:val="single" w:color="auto" w:sz="8" w:space="0"/>
              <w:right w:val="nil"/>
            </w:tcBorders>
            <w:shd w:val="clear" w:color="auto" w:fill="F2F2F2" w:themeFill="background1" w:themeFillShade="F2"/>
            <w:noWrap/>
            <w:vAlign w:val="center"/>
            <w:hideMark/>
          </w:tcPr>
          <w:p w:rsidRPr="00945337" w:rsidR="0043359A" w:rsidP="00B111FF" w:rsidRDefault="00B111FF">
            <w:pPr>
              <w:overflowPunct/>
              <w:autoSpaceDE/>
              <w:autoSpaceDN/>
              <w:adjustRightInd/>
              <w:jc w:val="right"/>
              <w:textAlignment w:val="auto"/>
              <w:rPr>
                <w:rFonts w:ascii="Verdana" w:hAnsi="Verdana"/>
                <w:sz w:val="20"/>
                <w:lang w:eastAsia="en-GB"/>
              </w:rPr>
            </w:pPr>
            <w:r w:rsidRPr="00945337">
              <w:rPr>
                <w:rFonts w:ascii="Verdana" w:hAnsi="Verdana"/>
                <w:sz w:val="20"/>
                <w:lang w:eastAsia="en-GB"/>
              </w:rPr>
              <w:t>(</w:t>
            </w:r>
            <w:r w:rsidRPr="00945337" w:rsidR="0043359A">
              <w:rPr>
                <w:rFonts w:ascii="Verdana" w:hAnsi="Verdana"/>
                <w:sz w:val="20"/>
                <w:lang w:eastAsia="en-GB"/>
              </w:rPr>
              <w:t>26,862</w:t>
            </w:r>
            <w:r w:rsidRPr="00945337">
              <w:rPr>
                <w:rFonts w:ascii="Verdana" w:hAnsi="Verdana"/>
                <w:sz w:val="20"/>
                <w:lang w:eastAsia="en-GB"/>
              </w:rPr>
              <w:t>)</w:t>
            </w:r>
          </w:p>
        </w:tc>
      </w:tr>
      <w:tr w:rsidRPr="0043359A" w:rsidR="0043359A" w:rsidTr="00BC2CBF">
        <w:trPr>
          <w:trHeight w:val="300"/>
        </w:trPr>
        <w:tc>
          <w:tcPr>
            <w:tcW w:w="4962"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86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 </w:t>
            </w:r>
          </w:p>
        </w:tc>
        <w:tc>
          <w:tcPr>
            <w:tcW w:w="3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82"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414"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r>
      <w:tr w:rsidRPr="0043359A" w:rsidR="0043359A" w:rsidTr="00BC2CBF">
        <w:trPr>
          <w:trHeight w:val="300"/>
        </w:trPr>
        <w:tc>
          <w:tcPr>
            <w:tcW w:w="4962"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b/>
                <w:bCs/>
                <w:color w:val="000000"/>
                <w:sz w:val="20"/>
                <w:lang w:eastAsia="en-GB"/>
              </w:rPr>
            </w:pPr>
            <w:r w:rsidRPr="0043359A">
              <w:rPr>
                <w:rFonts w:ascii="Verdana" w:hAnsi="Verdana"/>
                <w:b/>
                <w:bCs/>
                <w:color w:val="000000"/>
                <w:sz w:val="20"/>
                <w:lang w:eastAsia="en-GB"/>
              </w:rPr>
              <w:t>Cash flows from financing activities</w:t>
            </w:r>
          </w:p>
        </w:tc>
        <w:tc>
          <w:tcPr>
            <w:tcW w:w="86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b/>
                <w:bCs/>
                <w:color w:val="000000"/>
                <w:sz w:val="20"/>
                <w:lang w:eastAsia="en-GB"/>
              </w:rPr>
            </w:pPr>
            <w:r w:rsidRPr="0043359A">
              <w:rPr>
                <w:rFonts w:ascii="Verdana" w:hAnsi="Verdana"/>
                <w:b/>
                <w:bCs/>
                <w:color w:val="000000"/>
                <w:sz w:val="20"/>
                <w:lang w:eastAsia="en-GB"/>
              </w:rPr>
              <w:t> </w:t>
            </w:r>
          </w:p>
        </w:tc>
        <w:tc>
          <w:tcPr>
            <w:tcW w:w="3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b/>
                <w:bCs/>
                <w:color w:val="000000"/>
                <w:sz w:val="20"/>
                <w:lang w:eastAsia="en-GB"/>
              </w:rPr>
            </w:pPr>
            <w:r w:rsidRPr="0043359A">
              <w:rPr>
                <w:rFonts w:ascii="Verdana" w:hAnsi="Verdana"/>
                <w:b/>
                <w:bCs/>
                <w:color w:val="000000"/>
                <w:sz w:val="20"/>
                <w:lang w:eastAsia="en-GB"/>
              </w:rPr>
              <w:t> </w:t>
            </w:r>
          </w:p>
        </w:tc>
        <w:tc>
          <w:tcPr>
            <w:tcW w:w="1582"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287"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c>
          <w:tcPr>
            <w:tcW w:w="1414" w:type="dxa"/>
            <w:tcBorders>
              <w:top w:val="nil"/>
              <w:left w:val="nil"/>
              <w:bottom w:val="nil"/>
              <w:right w:val="nil"/>
            </w:tcBorders>
            <w:shd w:val="clear" w:color="auto" w:fill="F2F2F2" w:themeFill="background1" w:themeFillShade="F2"/>
            <w:noWrap/>
            <w:vAlign w:val="center"/>
            <w:hideMark/>
          </w:tcPr>
          <w:p w:rsidRPr="00945337" w:rsidR="0043359A" w:rsidP="0043359A" w:rsidRDefault="0043359A">
            <w:pPr>
              <w:overflowPunct/>
              <w:autoSpaceDE/>
              <w:autoSpaceDN/>
              <w:adjustRightInd/>
              <w:jc w:val="left"/>
              <w:textAlignment w:val="auto"/>
              <w:rPr>
                <w:rFonts w:ascii="Verdana" w:hAnsi="Verdana"/>
                <w:sz w:val="20"/>
                <w:lang w:eastAsia="en-GB"/>
              </w:rPr>
            </w:pPr>
            <w:r w:rsidRPr="00945337">
              <w:rPr>
                <w:rFonts w:ascii="Verdana" w:hAnsi="Verdana"/>
                <w:sz w:val="20"/>
                <w:lang w:eastAsia="en-GB"/>
              </w:rPr>
              <w:t> </w:t>
            </w:r>
          </w:p>
        </w:tc>
      </w:tr>
      <w:tr w:rsidRPr="0043359A" w:rsidR="0043359A" w:rsidTr="00BC2CBF">
        <w:trPr>
          <w:trHeight w:val="315"/>
        </w:trPr>
        <w:tc>
          <w:tcPr>
            <w:tcW w:w="4962"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Net interest</w:t>
            </w:r>
          </w:p>
        </w:tc>
        <w:tc>
          <w:tcPr>
            <w:tcW w:w="86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14</w:t>
            </w:r>
          </w:p>
        </w:tc>
        <w:tc>
          <w:tcPr>
            <w:tcW w:w="3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82"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right"/>
              <w:textAlignment w:val="auto"/>
              <w:rPr>
                <w:rFonts w:ascii="Verdana" w:hAnsi="Verdana"/>
                <w:color w:val="000000"/>
                <w:sz w:val="20"/>
                <w:lang w:eastAsia="en-GB"/>
              </w:rPr>
            </w:pPr>
            <w:r w:rsidRPr="0043359A">
              <w:rPr>
                <w:rFonts w:ascii="Verdana" w:hAnsi="Verdana"/>
                <w:color w:val="000000"/>
                <w:sz w:val="20"/>
                <w:lang w:eastAsia="en-GB"/>
              </w:rPr>
              <w:t>43,388</w:t>
            </w:r>
          </w:p>
        </w:tc>
        <w:tc>
          <w:tcPr>
            <w:tcW w:w="2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414"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right"/>
              <w:textAlignment w:val="auto"/>
              <w:rPr>
                <w:rFonts w:ascii="Verdana" w:hAnsi="Verdana"/>
                <w:color w:val="000000"/>
                <w:sz w:val="20"/>
                <w:lang w:eastAsia="en-GB"/>
              </w:rPr>
            </w:pPr>
            <w:r w:rsidRPr="0043359A">
              <w:rPr>
                <w:rFonts w:ascii="Verdana" w:hAnsi="Verdana"/>
                <w:color w:val="000000"/>
                <w:sz w:val="20"/>
                <w:lang w:eastAsia="en-GB"/>
              </w:rPr>
              <w:t>72,383</w:t>
            </w:r>
          </w:p>
        </w:tc>
      </w:tr>
      <w:tr w:rsidRPr="0043359A" w:rsidR="0043359A" w:rsidTr="00BC2CBF">
        <w:trPr>
          <w:trHeight w:val="315"/>
        </w:trPr>
        <w:tc>
          <w:tcPr>
            <w:tcW w:w="4962"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Net cash from financing activities</w:t>
            </w:r>
          </w:p>
        </w:tc>
        <w:tc>
          <w:tcPr>
            <w:tcW w:w="86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 </w:t>
            </w:r>
          </w:p>
        </w:tc>
        <w:tc>
          <w:tcPr>
            <w:tcW w:w="3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82" w:type="dxa"/>
            <w:tcBorders>
              <w:top w:val="single" w:color="auto" w:sz="8" w:space="0"/>
              <w:left w:val="nil"/>
              <w:bottom w:val="single" w:color="auto" w:sz="8" w:space="0"/>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right"/>
              <w:textAlignment w:val="auto"/>
              <w:rPr>
                <w:rFonts w:ascii="Verdana" w:hAnsi="Verdana"/>
                <w:color w:val="000000"/>
                <w:sz w:val="20"/>
                <w:lang w:eastAsia="en-GB"/>
              </w:rPr>
            </w:pPr>
            <w:r w:rsidRPr="0043359A">
              <w:rPr>
                <w:rFonts w:ascii="Verdana" w:hAnsi="Verdana"/>
                <w:color w:val="000000"/>
                <w:sz w:val="20"/>
                <w:lang w:eastAsia="en-GB"/>
              </w:rPr>
              <w:t>43,388</w:t>
            </w:r>
          </w:p>
        </w:tc>
        <w:tc>
          <w:tcPr>
            <w:tcW w:w="2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414" w:type="dxa"/>
            <w:tcBorders>
              <w:top w:val="single" w:color="auto" w:sz="8" w:space="0"/>
              <w:left w:val="nil"/>
              <w:bottom w:val="single" w:color="auto" w:sz="8" w:space="0"/>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right"/>
              <w:textAlignment w:val="auto"/>
              <w:rPr>
                <w:rFonts w:ascii="Verdana" w:hAnsi="Verdana"/>
                <w:color w:val="000000"/>
                <w:sz w:val="20"/>
                <w:lang w:eastAsia="en-GB"/>
              </w:rPr>
            </w:pPr>
            <w:r w:rsidRPr="0043359A">
              <w:rPr>
                <w:rFonts w:ascii="Verdana" w:hAnsi="Verdana"/>
                <w:color w:val="000000"/>
                <w:sz w:val="20"/>
                <w:lang w:eastAsia="en-GB"/>
              </w:rPr>
              <w:t>72,383</w:t>
            </w:r>
          </w:p>
        </w:tc>
      </w:tr>
      <w:tr w:rsidRPr="0043359A" w:rsidR="0043359A" w:rsidTr="00BC2CBF">
        <w:trPr>
          <w:trHeight w:val="300"/>
        </w:trPr>
        <w:tc>
          <w:tcPr>
            <w:tcW w:w="4962"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86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 </w:t>
            </w:r>
          </w:p>
        </w:tc>
        <w:tc>
          <w:tcPr>
            <w:tcW w:w="3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82"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2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414"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r>
      <w:tr w:rsidRPr="0043359A" w:rsidR="0043359A" w:rsidTr="00BC2CBF">
        <w:trPr>
          <w:trHeight w:val="300"/>
        </w:trPr>
        <w:tc>
          <w:tcPr>
            <w:tcW w:w="4962"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Cash &amp; cash equivalents at start of year</w:t>
            </w:r>
          </w:p>
        </w:tc>
        <w:tc>
          <w:tcPr>
            <w:tcW w:w="86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 </w:t>
            </w:r>
          </w:p>
        </w:tc>
        <w:tc>
          <w:tcPr>
            <w:tcW w:w="3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82"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right"/>
              <w:textAlignment w:val="auto"/>
              <w:rPr>
                <w:rFonts w:ascii="Verdana" w:hAnsi="Verdana"/>
                <w:color w:val="000000"/>
                <w:sz w:val="20"/>
                <w:lang w:eastAsia="en-GB"/>
              </w:rPr>
            </w:pPr>
            <w:r w:rsidRPr="0043359A">
              <w:rPr>
                <w:rFonts w:ascii="Verdana" w:hAnsi="Verdana"/>
                <w:color w:val="000000"/>
                <w:sz w:val="20"/>
                <w:lang w:eastAsia="en-GB"/>
              </w:rPr>
              <w:t>7,820,060</w:t>
            </w:r>
          </w:p>
        </w:tc>
        <w:tc>
          <w:tcPr>
            <w:tcW w:w="2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414"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right"/>
              <w:textAlignment w:val="auto"/>
              <w:rPr>
                <w:rFonts w:ascii="Verdana" w:hAnsi="Verdana"/>
                <w:color w:val="000000"/>
                <w:sz w:val="20"/>
                <w:lang w:eastAsia="en-GB"/>
              </w:rPr>
            </w:pPr>
            <w:r w:rsidRPr="0043359A">
              <w:rPr>
                <w:rFonts w:ascii="Verdana" w:hAnsi="Verdana"/>
                <w:color w:val="000000"/>
                <w:sz w:val="20"/>
                <w:lang w:eastAsia="en-GB"/>
              </w:rPr>
              <w:t>7,744,139</w:t>
            </w:r>
          </w:p>
        </w:tc>
      </w:tr>
      <w:tr w:rsidRPr="0043359A" w:rsidR="0043359A" w:rsidTr="00BC2CBF">
        <w:trPr>
          <w:trHeight w:val="300"/>
        </w:trPr>
        <w:tc>
          <w:tcPr>
            <w:tcW w:w="4962"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Cash &amp; cash equivalents at end of year</w:t>
            </w:r>
          </w:p>
        </w:tc>
        <w:tc>
          <w:tcPr>
            <w:tcW w:w="866"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center"/>
              <w:textAlignment w:val="auto"/>
              <w:rPr>
                <w:rFonts w:ascii="Verdana" w:hAnsi="Verdana"/>
                <w:color w:val="000000"/>
                <w:sz w:val="20"/>
                <w:lang w:eastAsia="en-GB"/>
              </w:rPr>
            </w:pPr>
            <w:r w:rsidRPr="0043359A">
              <w:rPr>
                <w:rFonts w:ascii="Verdana" w:hAnsi="Verdana"/>
                <w:color w:val="000000"/>
                <w:sz w:val="20"/>
                <w:lang w:eastAsia="en-GB"/>
              </w:rPr>
              <w:t> </w:t>
            </w:r>
          </w:p>
        </w:tc>
        <w:tc>
          <w:tcPr>
            <w:tcW w:w="3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582"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right"/>
              <w:textAlignment w:val="auto"/>
              <w:rPr>
                <w:rFonts w:ascii="Verdana" w:hAnsi="Verdana"/>
                <w:color w:val="000000"/>
                <w:sz w:val="20"/>
                <w:lang w:eastAsia="en-GB"/>
              </w:rPr>
            </w:pPr>
            <w:r w:rsidRPr="0043359A">
              <w:rPr>
                <w:rFonts w:ascii="Verdana" w:hAnsi="Verdana"/>
                <w:color w:val="000000"/>
                <w:sz w:val="20"/>
                <w:lang w:eastAsia="en-GB"/>
              </w:rPr>
              <w:t>6,446,579</w:t>
            </w:r>
          </w:p>
        </w:tc>
        <w:tc>
          <w:tcPr>
            <w:tcW w:w="287"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left"/>
              <w:textAlignment w:val="auto"/>
              <w:rPr>
                <w:rFonts w:ascii="Verdana" w:hAnsi="Verdana"/>
                <w:color w:val="000000"/>
                <w:sz w:val="20"/>
                <w:lang w:eastAsia="en-GB"/>
              </w:rPr>
            </w:pPr>
            <w:r w:rsidRPr="0043359A">
              <w:rPr>
                <w:rFonts w:ascii="Verdana" w:hAnsi="Verdana"/>
                <w:color w:val="000000"/>
                <w:sz w:val="20"/>
                <w:lang w:eastAsia="en-GB"/>
              </w:rPr>
              <w:t> </w:t>
            </w:r>
          </w:p>
        </w:tc>
        <w:tc>
          <w:tcPr>
            <w:tcW w:w="1414" w:type="dxa"/>
            <w:tcBorders>
              <w:top w:val="nil"/>
              <w:left w:val="nil"/>
              <w:bottom w:val="nil"/>
              <w:right w:val="nil"/>
            </w:tcBorders>
            <w:shd w:val="clear" w:color="auto" w:fill="F2F2F2" w:themeFill="background1" w:themeFillShade="F2"/>
            <w:noWrap/>
            <w:vAlign w:val="center"/>
            <w:hideMark/>
          </w:tcPr>
          <w:p w:rsidRPr="0043359A" w:rsidR="0043359A" w:rsidP="0043359A" w:rsidRDefault="0043359A">
            <w:pPr>
              <w:overflowPunct/>
              <w:autoSpaceDE/>
              <w:autoSpaceDN/>
              <w:adjustRightInd/>
              <w:jc w:val="right"/>
              <w:textAlignment w:val="auto"/>
              <w:rPr>
                <w:rFonts w:ascii="Verdana" w:hAnsi="Verdana"/>
                <w:color w:val="000000"/>
                <w:sz w:val="20"/>
                <w:lang w:eastAsia="en-GB"/>
              </w:rPr>
            </w:pPr>
            <w:r w:rsidRPr="0043359A">
              <w:rPr>
                <w:rFonts w:ascii="Verdana" w:hAnsi="Verdana"/>
                <w:color w:val="000000"/>
                <w:sz w:val="20"/>
                <w:lang w:eastAsia="en-GB"/>
              </w:rPr>
              <w:t>7,820,060</w:t>
            </w:r>
          </w:p>
        </w:tc>
      </w:tr>
    </w:tbl>
    <w:p w:rsidRPr="00967D10" w:rsidR="00CA4548" w:rsidP="007748CD" w:rsidRDefault="00CA4548">
      <w:pPr>
        <w:jc w:val="left"/>
        <w:rPr>
          <w:rFonts w:ascii="Verdana" w:hAnsi="Verdana" w:cs="Arial"/>
          <w:sz w:val="20"/>
        </w:rPr>
      </w:pPr>
    </w:p>
    <w:p w:rsidRPr="008B41ED" w:rsidR="00BD486B" w:rsidP="007748CD" w:rsidRDefault="00BD486B">
      <w:pPr>
        <w:jc w:val="left"/>
        <w:rPr>
          <w:rFonts w:ascii="Verdana" w:hAnsi="Verdana" w:cs="Arial"/>
          <w:sz w:val="20"/>
          <w:highlight w:val="yellow"/>
        </w:rPr>
      </w:pPr>
    </w:p>
    <w:p w:rsidRPr="008B41ED" w:rsidR="00312324" w:rsidRDefault="003049C1">
      <w:pPr>
        <w:pStyle w:val="ACText"/>
        <w:rPr>
          <w:rFonts w:ascii="Arial" w:hAnsi="Arial" w:cs="Arial"/>
          <w:highlight w:val="yellow"/>
        </w:rPr>
      </w:pPr>
      <w:r w:rsidRPr="003049C1">
        <w:rPr>
          <w:rFonts w:ascii="Verdana" w:hAnsi="Verdana" w:cs="Arial"/>
        </w:rPr>
        <w:t>The notes on pages 18 - 29 form part of these statements.</w:t>
      </w:r>
    </w:p>
    <w:p w:rsidRPr="008B41ED" w:rsidR="003C188D" w:rsidRDefault="003C188D">
      <w:pPr>
        <w:pStyle w:val="ACText"/>
        <w:rPr>
          <w:rFonts w:ascii="Arial" w:hAnsi="Arial" w:cs="Arial"/>
          <w:highlight w:val="yellow"/>
        </w:rPr>
      </w:pPr>
    </w:p>
    <w:p w:rsidRPr="008B41ED" w:rsidR="00E9305A" w:rsidRDefault="00E9305A">
      <w:pPr>
        <w:pStyle w:val="ACText"/>
        <w:rPr>
          <w:rFonts w:ascii="Arial" w:hAnsi="Arial" w:cs="Arial"/>
          <w:highlight w:val="yellow"/>
        </w:rPr>
      </w:pPr>
    </w:p>
    <w:p w:rsidRPr="00435435" w:rsidR="00B33CC3" w:rsidP="00B33CC3" w:rsidRDefault="00912ECE">
      <w:pPr>
        <w:pStyle w:val="ACSectionTOCHeading"/>
        <w:rPr>
          <w:rFonts w:ascii="Verdana" w:hAnsi="Verdana" w:cs="Arial"/>
        </w:rPr>
      </w:pPr>
      <w:r w:rsidRPr="008B41ED">
        <w:rPr>
          <w:rFonts w:ascii="Verdana" w:hAnsi="Verdana" w:cs="Arial"/>
          <w:highlight w:val="yellow"/>
        </w:rPr>
        <w:br w:type="page"/>
      </w:r>
      <w:r w:rsidRPr="00435435" w:rsidR="00523C5F">
        <w:rPr>
          <w:rFonts w:ascii="Verdana" w:hAnsi="Verdana" w:cs="Arial"/>
        </w:rPr>
        <w:lastRenderedPageBreak/>
        <w:t>Statement of Changes in Equity</w:t>
      </w:r>
    </w:p>
    <w:p w:rsidRPr="00435435" w:rsidR="00B33CC3" w:rsidP="00B33CC3" w:rsidRDefault="005C5850">
      <w:pPr>
        <w:pStyle w:val="ACSub-head"/>
        <w:rPr>
          <w:rFonts w:ascii="Verdana" w:hAnsi="Verdana" w:cs="Arial"/>
          <w:i w:val="0"/>
        </w:rPr>
      </w:pPr>
      <w:r w:rsidRPr="00435435">
        <w:rPr>
          <w:rFonts w:ascii="Verdana" w:hAnsi="Verdana" w:cs="Arial"/>
          <w:i w:val="0"/>
        </w:rPr>
        <w:t>For the year ended 31 March 201</w:t>
      </w:r>
      <w:r w:rsidR="00AB1242">
        <w:rPr>
          <w:rFonts w:ascii="Verdana" w:hAnsi="Verdana" w:cs="Arial"/>
          <w:i w:val="0"/>
        </w:rPr>
        <w:t>8</w:t>
      </w:r>
    </w:p>
    <w:p w:rsidRPr="00435435" w:rsidR="0049044F" w:rsidP="007748CD" w:rsidRDefault="0049044F">
      <w:pPr>
        <w:jc w:val="left"/>
        <w:rPr>
          <w:rFonts w:ascii="Verdana" w:hAnsi="Verdana" w:cs="Arial"/>
          <w:sz w:val="20"/>
        </w:rPr>
      </w:pPr>
    </w:p>
    <w:tbl>
      <w:tblPr>
        <w:tblW w:w="0" w:type="auto"/>
        <w:tblInd w:w="93" w:type="dxa"/>
        <w:tblLook w:val="04A0" w:firstRow="1" w:lastRow="0" w:firstColumn="1" w:lastColumn="0" w:noHBand="0" w:noVBand="1"/>
      </w:tblPr>
      <w:tblGrid>
        <w:gridCol w:w="287"/>
        <w:gridCol w:w="7099"/>
        <w:gridCol w:w="1717"/>
        <w:gridCol w:w="410"/>
      </w:tblGrid>
      <w:tr w:rsidRPr="00435435" w:rsidR="0049044F" w:rsidTr="00BC2CBF">
        <w:trPr>
          <w:trHeight w:val="315"/>
        </w:trPr>
        <w:tc>
          <w:tcPr>
            <w:tcW w:w="0" w:type="auto"/>
            <w:tcBorders>
              <w:top w:val="nil"/>
              <w:left w:val="nil"/>
              <w:bottom w:val="nil"/>
              <w:right w:val="nil"/>
            </w:tcBorders>
            <w:shd w:val="clear" w:color="auto" w:fill="F2F2F2" w:themeFill="background1" w:themeFillShade="F2"/>
            <w:noWrap/>
            <w:vAlign w:val="bottom"/>
          </w:tcPr>
          <w:p w:rsidRPr="00435435" w:rsidR="0049044F" w:rsidP="0049044F" w:rsidRDefault="0049044F">
            <w:pPr>
              <w:overflowPunct/>
              <w:autoSpaceDE/>
              <w:autoSpaceDN/>
              <w:adjustRightInd/>
              <w:jc w:val="left"/>
              <w:textAlignment w:val="auto"/>
              <w:rPr>
                <w:rFonts w:ascii="Verdana" w:hAnsi="Verdana" w:cs="Calibri"/>
                <w:sz w:val="20"/>
                <w:lang w:eastAsia="en-GB"/>
              </w:rPr>
            </w:pPr>
          </w:p>
        </w:tc>
        <w:tc>
          <w:tcPr>
            <w:tcW w:w="7099" w:type="dxa"/>
            <w:tcBorders>
              <w:top w:val="nil"/>
              <w:left w:val="nil"/>
              <w:bottom w:val="nil"/>
              <w:right w:val="nil"/>
            </w:tcBorders>
            <w:shd w:val="clear" w:color="auto" w:fill="F2F2F2" w:themeFill="background1" w:themeFillShade="F2"/>
            <w:noWrap/>
            <w:vAlign w:val="bottom"/>
          </w:tcPr>
          <w:p w:rsidRPr="00435435" w:rsidR="0049044F" w:rsidP="0049044F" w:rsidRDefault="0049044F">
            <w:pPr>
              <w:overflowPunct/>
              <w:autoSpaceDE/>
              <w:autoSpaceDN/>
              <w:adjustRightInd/>
              <w:jc w:val="left"/>
              <w:textAlignment w:val="auto"/>
              <w:rPr>
                <w:rFonts w:ascii="Verdana" w:hAnsi="Verdana" w:cs="Calibri"/>
                <w:sz w:val="20"/>
                <w:lang w:eastAsia="en-GB"/>
              </w:rPr>
            </w:pPr>
          </w:p>
        </w:tc>
        <w:tc>
          <w:tcPr>
            <w:tcW w:w="1717" w:type="dxa"/>
            <w:tcBorders>
              <w:top w:val="nil"/>
              <w:left w:val="nil"/>
              <w:bottom w:val="nil"/>
              <w:right w:val="nil"/>
            </w:tcBorders>
            <w:shd w:val="clear" w:color="auto" w:fill="F2F2F2" w:themeFill="background1" w:themeFillShade="F2"/>
            <w:noWrap/>
            <w:vAlign w:val="bottom"/>
          </w:tcPr>
          <w:p w:rsidRPr="00435435" w:rsidR="0049044F" w:rsidP="0049044F" w:rsidRDefault="0049044F">
            <w:pPr>
              <w:overflowPunct/>
              <w:autoSpaceDE/>
              <w:autoSpaceDN/>
              <w:adjustRightInd/>
              <w:jc w:val="center"/>
              <w:textAlignment w:val="auto"/>
              <w:rPr>
                <w:rFonts w:ascii="Verdana" w:hAnsi="Verdana" w:cs="Calibri"/>
                <w:b/>
                <w:sz w:val="20"/>
                <w:lang w:eastAsia="en-GB"/>
              </w:rPr>
            </w:pPr>
            <w:r w:rsidRPr="00435435">
              <w:rPr>
                <w:rFonts w:ascii="Verdana" w:hAnsi="Verdana" w:cs="Calibri"/>
                <w:b/>
                <w:sz w:val="20"/>
                <w:lang w:eastAsia="en-GB"/>
              </w:rPr>
              <w:t xml:space="preserve">     £</w:t>
            </w:r>
          </w:p>
        </w:tc>
        <w:tc>
          <w:tcPr>
            <w:tcW w:w="410" w:type="dxa"/>
            <w:tcBorders>
              <w:top w:val="nil"/>
              <w:left w:val="nil"/>
              <w:bottom w:val="nil"/>
              <w:right w:val="nil"/>
            </w:tcBorders>
            <w:shd w:val="clear" w:color="auto" w:fill="F2F2F2" w:themeFill="background1" w:themeFillShade="F2"/>
            <w:noWrap/>
            <w:vAlign w:val="bottom"/>
          </w:tcPr>
          <w:p w:rsidRPr="00435435" w:rsidR="0049044F" w:rsidP="0049044F" w:rsidRDefault="0049044F">
            <w:pPr>
              <w:overflowPunct/>
              <w:autoSpaceDE/>
              <w:autoSpaceDN/>
              <w:adjustRightInd/>
              <w:jc w:val="left"/>
              <w:textAlignment w:val="auto"/>
              <w:rPr>
                <w:rFonts w:ascii="Verdana" w:hAnsi="Verdana" w:cs="Calibri"/>
                <w:sz w:val="20"/>
                <w:lang w:eastAsia="en-GB"/>
              </w:rPr>
            </w:pPr>
          </w:p>
        </w:tc>
      </w:tr>
      <w:tr w:rsidRPr="00435435" w:rsidR="0049044F" w:rsidTr="00BC2CBF">
        <w:trPr>
          <w:trHeight w:val="315"/>
        </w:trPr>
        <w:tc>
          <w:tcPr>
            <w:tcW w:w="0" w:type="auto"/>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left"/>
              <w:textAlignment w:val="auto"/>
              <w:rPr>
                <w:rFonts w:ascii="Verdana" w:hAnsi="Verdana" w:cs="Calibri"/>
                <w:sz w:val="20"/>
                <w:lang w:eastAsia="en-GB"/>
              </w:rPr>
            </w:pPr>
            <w:r w:rsidRPr="00435435">
              <w:rPr>
                <w:rFonts w:ascii="Verdana" w:hAnsi="Verdana" w:cs="Calibri"/>
                <w:sz w:val="20"/>
                <w:lang w:eastAsia="en-GB"/>
              </w:rPr>
              <w:t> </w:t>
            </w:r>
          </w:p>
        </w:tc>
        <w:tc>
          <w:tcPr>
            <w:tcW w:w="7099" w:type="dxa"/>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left"/>
              <w:textAlignment w:val="auto"/>
              <w:rPr>
                <w:rFonts w:ascii="Verdana" w:hAnsi="Verdana" w:cs="Calibri"/>
                <w:sz w:val="20"/>
                <w:lang w:eastAsia="en-GB"/>
              </w:rPr>
            </w:pPr>
            <w:r w:rsidRPr="00435435">
              <w:rPr>
                <w:rFonts w:ascii="Verdana" w:hAnsi="Verdana" w:cs="Calibri"/>
                <w:sz w:val="20"/>
                <w:lang w:eastAsia="en-GB"/>
              </w:rPr>
              <w:t> </w:t>
            </w:r>
          </w:p>
        </w:tc>
        <w:tc>
          <w:tcPr>
            <w:tcW w:w="1717" w:type="dxa"/>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right"/>
              <w:textAlignment w:val="auto"/>
              <w:rPr>
                <w:rFonts w:ascii="Verdana" w:hAnsi="Verdana" w:cs="Calibri"/>
                <w:sz w:val="20"/>
                <w:lang w:eastAsia="en-GB"/>
              </w:rPr>
            </w:pPr>
            <w:r w:rsidRPr="00435435">
              <w:rPr>
                <w:rFonts w:ascii="Verdana" w:hAnsi="Verdana" w:cs="Calibri"/>
                <w:sz w:val="20"/>
                <w:lang w:eastAsia="en-GB"/>
              </w:rPr>
              <w:t> </w:t>
            </w:r>
          </w:p>
        </w:tc>
        <w:tc>
          <w:tcPr>
            <w:tcW w:w="410" w:type="dxa"/>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left"/>
              <w:textAlignment w:val="auto"/>
              <w:rPr>
                <w:rFonts w:ascii="Verdana" w:hAnsi="Verdana" w:cs="Calibri"/>
                <w:sz w:val="20"/>
                <w:lang w:eastAsia="en-GB"/>
              </w:rPr>
            </w:pPr>
            <w:r w:rsidRPr="00435435">
              <w:rPr>
                <w:rFonts w:ascii="Verdana" w:hAnsi="Verdana" w:cs="Calibri"/>
                <w:sz w:val="20"/>
                <w:lang w:eastAsia="en-GB"/>
              </w:rPr>
              <w:t> </w:t>
            </w:r>
          </w:p>
        </w:tc>
      </w:tr>
      <w:tr w:rsidRPr="00435435" w:rsidR="0049044F" w:rsidTr="00BC2CBF">
        <w:trPr>
          <w:trHeight w:val="315"/>
        </w:trPr>
        <w:tc>
          <w:tcPr>
            <w:tcW w:w="0" w:type="auto"/>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left"/>
              <w:textAlignment w:val="auto"/>
              <w:rPr>
                <w:rFonts w:ascii="Verdana" w:hAnsi="Verdana" w:cs="Calibri"/>
                <w:sz w:val="20"/>
                <w:lang w:eastAsia="en-GB"/>
              </w:rPr>
            </w:pPr>
            <w:r w:rsidRPr="00435435">
              <w:rPr>
                <w:rFonts w:ascii="Verdana" w:hAnsi="Verdana" w:cs="Calibri"/>
                <w:sz w:val="20"/>
                <w:lang w:eastAsia="en-GB"/>
              </w:rPr>
              <w:t> </w:t>
            </w:r>
          </w:p>
        </w:tc>
        <w:tc>
          <w:tcPr>
            <w:tcW w:w="7099" w:type="dxa"/>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left"/>
              <w:textAlignment w:val="auto"/>
              <w:rPr>
                <w:rFonts w:ascii="Verdana" w:hAnsi="Verdana" w:cs="Calibri"/>
                <w:b/>
                <w:bCs/>
                <w:sz w:val="20"/>
                <w:lang w:eastAsia="en-GB"/>
              </w:rPr>
            </w:pPr>
            <w:r w:rsidRPr="00435435">
              <w:rPr>
                <w:rFonts w:ascii="Verdana" w:hAnsi="Verdana" w:cs="Calibri"/>
                <w:b/>
                <w:bCs/>
                <w:sz w:val="20"/>
                <w:lang w:eastAsia="en-GB"/>
              </w:rPr>
              <w:t>Profit &amp; loss account at 31 March 201</w:t>
            </w:r>
            <w:r w:rsidR="008C502E">
              <w:rPr>
                <w:rFonts w:ascii="Verdana" w:hAnsi="Verdana" w:cs="Calibri"/>
                <w:b/>
                <w:bCs/>
                <w:sz w:val="20"/>
                <w:lang w:eastAsia="en-GB"/>
              </w:rPr>
              <w:t>6</w:t>
            </w:r>
          </w:p>
        </w:tc>
        <w:tc>
          <w:tcPr>
            <w:tcW w:w="1717" w:type="dxa"/>
            <w:tcBorders>
              <w:top w:val="nil"/>
              <w:left w:val="nil"/>
              <w:bottom w:val="nil"/>
              <w:right w:val="nil"/>
            </w:tcBorders>
            <w:shd w:val="clear" w:color="auto" w:fill="F2F2F2" w:themeFill="background1" w:themeFillShade="F2"/>
            <w:noWrap/>
            <w:vAlign w:val="bottom"/>
            <w:hideMark/>
          </w:tcPr>
          <w:p w:rsidRPr="00435435" w:rsidR="0049044F" w:rsidP="008C502E" w:rsidRDefault="0049044F">
            <w:pPr>
              <w:overflowPunct/>
              <w:autoSpaceDE/>
              <w:autoSpaceDN/>
              <w:adjustRightInd/>
              <w:jc w:val="right"/>
              <w:textAlignment w:val="auto"/>
              <w:rPr>
                <w:rFonts w:ascii="Verdana" w:hAnsi="Verdana" w:cs="Calibri"/>
                <w:b/>
                <w:bCs/>
                <w:sz w:val="20"/>
                <w:lang w:eastAsia="en-GB"/>
              </w:rPr>
            </w:pPr>
            <w:r w:rsidRPr="00435435">
              <w:rPr>
                <w:rFonts w:ascii="Verdana" w:hAnsi="Verdana" w:cs="Calibri"/>
                <w:b/>
                <w:bCs/>
                <w:sz w:val="20"/>
                <w:lang w:eastAsia="en-GB"/>
              </w:rPr>
              <w:t xml:space="preserve">  </w:t>
            </w:r>
            <w:r w:rsidR="008C502E">
              <w:rPr>
                <w:rFonts w:ascii="Verdana" w:hAnsi="Verdana" w:cs="Calibri"/>
                <w:b/>
                <w:bCs/>
                <w:sz w:val="20"/>
                <w:lang w:eastAsia="en-GB"/>
              </w:rPr>
              <w:t>4</w:t>
            </w:r>
            <w:r w:rsidRPr="00435435" w:rsidR="000569A2">
              <w:rPr>
                <w:rFonts w:ascii="Verdana" w:hAnsi="Verdana" w:cs="Calibri"/>
                <w:b/>
                <w:bCs/>
                <w:sz w:val="20"/>
                <w:lang w:eastAsia="en-GB"/>
              </w:rPr>
              <w:t>,</w:t>
            </w:r>
            <w:r w:rsidR="008C502E">
              <w:rPr>
                <w:rFonts w:ascii="Verdana" w:hAnsi="Verdana" w:cs="Calibri"/>
                <w:b/>
                <w:bCs/>
                <w:sz w:val="20"/>
                <w:lang w:eastAsia="en-GB"/>
              </w:rPr>
              <w:t>702</w:t>
            </w:r>
            <w:r w:rsidRPr="00435435" w:rsidR="00D526C1">
              <w:rPr>
                <w:rFonts w:ascii="Verdana" w:hAnsi="Verdana" w:cs="Calibri"/>
                <w:b/>
                <w:bCs/>
                <w:sz w:val="20"/>
                <w:lang w:eastAsia="en-GB"/>
              </w:rPr>
              <w:t>,</w:t>
            </w:r>
            <w:r w:rsidR="008C502E">
              <w:rPr>
                <w:rFonts w:ascii="Verdana" w:hAnsi="Verdana" w:cs="Calibri"/>
                <w:b/>
                <w:bCs/>
                <w:sz w:val="20"/>
                <w:lang w:eastAsia="en-GB"/>
              </w:rPr>
              <w:t>242</w:t>
            </w:r>
            <w:r w:rsidRPr="00435435">
              <w:rPr>
                <w:rFonts w:ascii="Verdana" w:hAnsi="Verdana" w:cs="Calibri"/>
                <w:b/>
                <w:bCs/>
                <w:sz w:val="20"/>
                <w:lang w:eastAsia="en-GB"/>
              </w:rPr>
              <w:t xml:space="preserve"> </w:t>
            </w:r>
          </w:p>
        </w:tc>
        <w:tc>
          <w:tcPr>
            <w:tcW w:w="410" w:type="dxa"/>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left"/>
              <w:textAlignment w:val="auto"/>
              <w:rPr>
                <w:rFonts w:ascii="Verdana" w:hAnsi="Verdana" w:cs="Calibri"/>
                <w:sz w:val="20"/>
                <w:lang w:eastAsia="en-GB"/>
              </w:rPr>
            </w:pPr>
            <w:r w:rsidRPr="00435435">
              <w:rPr>
                <w:rFonts w:ascii="Verdana" w:hAnsi="Verdana" w:cs="Calibri"/>
                <w:sz w:val="20"/>
                <w:lang w:eastAsia="en-GB"/>
              </w:rPr>
              <w:t> </w:t>
            </w:r>
          </w:p>
        </w:tc>
      </w:tr>
      <w:tr w:rsidRPr="00435435" w:rsidR="0049044F" w:rsidTr="00BC2CBF">
        <w:trPr>
          <w:trHeight w:val="315"/>
        </w:trPr>
        <w:tc>
          <w:tcPr>
            <w:tcW w:w="0" w:type="auto"/>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left"/>
              <w:textAlignment w:val="auto"/>
              <w:rPr>
                <w:rFonts w:ascii="Verdana" w:hAnsi="Verdana" w:cs="Calibri"/>
                <w:sz w:val="20"/>
                <w:lang w:eastAsia="en-GB"/>
              </w:rPr>
            </w:pPr>
            <w:r w:rsidRPr="00435435">
              <w:rPr>
                <w:rFonts w:ascii="Verdana" w:hAnsi="Verdana" w:cs="Calibri"/>
                <w:sz w:val="20"/>
                <w:lang w:eastAsia="en-GB"/>
              </w:rPr>
              <w:t> </w:t>
            </w:r>
          </w:p>
        </w:tc>
        <w:tc>
          <w:tcPr>
            <w:tcW w:w="7099" w:type="dxa"/>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left"/>
              <w:textAlignment w:val="auto"/>
              <w:rPr>
                <w:rFonts w:ascii="Verdana" w:hAnsi="Verdana" w:cs="Calibri"/>
                <w:sz w:val="20"/>
                <w:lang w:eastAsia="en-GB"/>
              </w:rPr>
            </w:pPr>
            <w:r w:rsidRPr="00435435">
              <w:rPr>
                <w:rFonts w:ascii="Verdana" w:hAnsi="Verdana" w:cs="Calibri"/>
                <w:sz w:val="20"/>
                <w:lang w:eastAsia="en-GB"/>
              </w:rPr>
              <w:t> </w:t>
            </w:r>
          </w:p>
        </w:tc>
        <w:tc>
          <w:tcPr>
            <w:tcW w:w="1717" w:type="dxa"/>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right"/>
              <w:textAlignment w:val="auto"/>
              <w:rPr>
                <w:rFonts w:ascii="Verdana" w:hAnsi="Verdana" w:cs="Calibri"/>
                <w:sz w:val="20"/>
                <w:lang w:eastAsia="en-GB"/>
              </w:rPr>
            </w:pPr>
            <w:r w:rsidRPr="00435435">
              <w:rPr>
                <w:rFonts w:ascii="Verdana" w:hAnsi="Verdana" w:cs="Calibri"/>
                <w:sz w:val="20"/>
                <w:lang w:eastAsia="en-GB"/>
              </w:rPr>
              <w:t> </w:t>
            </w:r>
          </w:p>
        </w:tc>
        <w:tc>
          <w:tcPr>
            <w:tcW w:w="410" w:type="dxa"/>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left"/>
              <w:textAlignment w:val="auto"/>
              <w:rPr>
                <w:rFonts w:ascii="Verdana" w:hAnsi="Verdana" w:cs="Calibri"/>
                <w:sz w:val="20"/>
                <w:lang w:eastAsia="en-GB"/>
              </w:rPr>
            </w:pPr>
            <w:r w:rsidRPr="00435435">
              <w:rPr>
                <w:rFonts w:ascii="Verdana" w:hAnsi="Verdana" w:cs="Calibri"/>
                <w:sz w:val="20"/>
                <w:lang w:eastAsia="en-GB"/>
              </w:rPr>
              <w:t> </w:t>
            </w:r>
          </w:p>
        </w:tc>
      </w:tr>
      <w:tr w:rsidRPr="00435435" w:rsidR="0049044F" w:rsidTr="00BC2CBF">
        <w:trPr>
          <w:trHeight w:val="315"/>
        </w:trPr>
        <w:tc>
          <w:tcPr>
            <w:tcW w:w="0" w:type="auto"/>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left"/>
              <w:textAlignment w:val="auto"/>
              <w:rPr>
                <w:rFonts w:ascii="Verdana" w:hAnsi="Verdana" w:cs="Calibri"/>
                <w:sz w:val="20"/>
                <w:lang w:eastAsia="en-GB"/>
              </w:rPr>
            </w:pPr>
            <w:r w:rsidRPr="00435435">
              <w:rPr>
                <w:rFonts w:ascii="Verdana" w:hAnsi="Verdana" w:cs="Calibri"/>
                <w:sz w:val="20"/>
                <w:lang w:eastAsia="en-GB"/>
              </w:rPr>
              <w:t> </w:t>
            </w:r>
          </w:p>
        </w:tc>
        <w:tc>
          <w:tcPr>
            <w:tcW w:w="7099" w:type="dxa"/>
            <w:tcBorders>
              <w:top w:val="nil"/>
              <w:left w:val="nil"/>
              <w:bottom w:val="nil"/>
              <w:right w:val="nil"/>
            </w:tcBorders>
            <w:shd w:val="clear" w:color="auto" w:fill="F2F2F2" w:themeFill="background1" w:themeFillShade="F2"/>
            <w:noWrap/>
            <w:vAlign w:val="bottom"/>
            <w:hideMark/>
          </w:tcPr>
          <w:p w:rsidRPr="00435435" w:rsidR="0049044F" w:rsidP="00945337" w:rsidRDefault="00945337">
            <w:pPr>
              <w:overflowPunct/>
              <w:autoSpaceDE/>
              <w:autoSpaceDN/>
              <w:adjustRightInd/>
              <w:jc w:val="left"/>
              <w:textAlignment w:val="auto"/>
              <w:rPr>
                <w:rFonts w:ascii="Verdana" w:hAnsi="Verdana" w:cs="Calibri"/>
                <w:sz w:val="20"/>
                <w:lang w:eastAsia="en-GB"/>
              </w:rPr>
            </w:pPr>
            <w:r>
              <w:rPr>
                <w:rFonts w:ascii="Verdana" w:hAnsi="Verdana" w:cs="Calibri"/>
                <w:sz w:val="20"/>
                <w:lang w:eastAsia="en-GB"/>
              </w:rPr>
              <w:t>(Loss)/Profit</w:t>
            </w:r>
            <w:r w:rsidRPr="00435435" w:rsidR="0049044F">
              <w:rPr>
                <w:rFonts w:ascii="Verdana" w:hAnsi="Verdana" w:cs="Calibri"/>
                <w:sz w:val="20"/>
                <w:lang w:eastAsia="en-GB"/>
              </w:rPr>
              <w:t xml:space="preserve"> for the year</w:t>
            </w:r>
          </w:p>
        </w:tc>
        <w:tc>
          <w:tcPr>
            <w:tcW w:w="1717" w:type="dxa"/>
            <w:tcBorders>
              <w:top w:val="nil"/>
              <w:left w:val="nil"/>
              <w:bottom w:val="nil"/>
              <w:right w:val="nil"/>
            </w:tcBorders>
            <w:shd w:val="clear" w:color="auto" w:fill="F2F2F2" w:themeFill="background1" w:themeFillShade="F2"/>
            <w:noWrap/>
            <w:vAlign w:val="bottom"/>
            <w:hideMark/>
          </w:tcPr>
          <w:p w:rsidRPr="00945337" w:rsidR="0049044F" w:rsidP="00D32C39" w:rsidRDefault="0049044F">
            <w:pPr>
              <w:overflowPunct/>
              <w:autoSpaceDE/>
              <w:autoSpaceDN/>
              <w:adjustRightInd/>
              <w:jc w:val="right"/>
              <w:textAlignment w:val="auto"/>
              <w:rPr>
                <w:rFonts w:ascii="Verdana" w:hAnsi="Verdana" w:cs="Calibri"/>
                <w:sz w:val="20"/>
                <w:lang w:eastAsia="en-GB"/>
              </w:rPr>
            </w:pPr>
            <w:r w:rsidRPr="00945337">
              <w:rPr>
                <w:rFonts w:ascii="Verdana" w:hAnsi="Verdana" w:cs="Calibri"/>
                <w:sz w:val="20"/>
                <w:lang w:eastAsia="en-GB"/>
              </w:rPr>
              <w:t xml:space="preserve">     </w:t>
            </w:r>
            <w:r w:rsidRPr="00945337" w:rsidR="00D32C39">
              <w:rPr>
                <w:rFonts w:ascii="Verdana" w:hAnsi="Verdana" w:cs="Calibri"/>
                <w:sz w:val="20"/>
                <w:lang w:eastAsia="en-GB"/>
              </w:rPr>
              <w:t>(741</w:t>
            </w:r>
            <w:r w:rsidRPr="00945337" w:rsidR="000569A2">
              <w:rPr>
                <w:rFonts w:ascii="Verdana" w:hAnsi="Verdana" w:cs="Calibri"/>
                <w:sz w:val="20"/>
                <w:lang w:eastAsia="en-GB"/>
              </w:rPr>
              <w:t>,</w:t>
            </w:r>
            <w:r w:rsidRPr="00945337" w:rsidR="00D32C39">
              <w:rPr>
                <w:rFonts w:ascii="Verdana" w:hAnsi="Verdana" w:cs="Calibri"/>
                <w:sz w:val="20"/>
                <w:lang w:eastAsia="en-GB"/>
              </w:rPr>
              <w:t>687)</w:t>
            </w:r>
            <w:r w:rsidRPr="00945337">
              <w:rPr>
                <w:rFonts w:ascii="Verdana" w:hAnsi="Verdana" w:cs="Calibri"/>
                <w:sz w:val="20"/>
                <w:lang w:eastAsia="en-GB"/>
              </w:rPr>
              <w:t xml:space="preserve"> </w:t>
            </w:r>
          </w:p>
        </w:tc>
        <w:tc>
          <w:tcPr>
            <w:tcW w:w="410" w:type="dxa"/>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left"/>
              <w:textAlignment w:val="auto"/>
              <w:rPr>
                <w:rFonts w:ascii="Verdana" w:hAnsi="Verdana" w:cs="Calibri"/>
                <w:color w:val="000000"/>
                <w:sz w:val="20"/>
                <w:lang w:eastAsia="en-GB"/>
              </w:rPr>
            </w:pPr>
            <w:r w:rsidRPr="00435435">
              <w:rPr>
                <w:rFonts w:ascii="Verdana" w:hAnsi="Verdana" w:cs="Calibri"/>
                <w:color w:val="000000"/>
                <w:sz w:val="20"/>
                <w:lang w:eastAsia="en-GB"/>
              </w:rPr>
              <w:t> </w:t>
            </w:r>
          </w:p>
        </w:tc>
      </w:tr>
      <w:tr w:rsidRPr="00435435" w:rsidR="0049044F" w:rsidTr="00BC2CBF">
        <w:trPr>
          <w:trHeight w:val="315"/>
        </w:trPr>
        <w:tc>
          <w:tcPr>
            <w:tcW w:w="0" w:type="auto"/>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left"/>
              <w:textAlignment w:val="auto"/>
              <w:rPr>
                <w:rFonts w:ascii="Verdana" w:hAnsi="Verdana" w:cs="Calibri"/>
                <w:sz w:val="20"/>
                <w:lang w:eastAsia="en-GB"/>
              </w:rPr>
            </w:pPr>
            <w:r w:rsidRPr="00435435">
              <w:rPr>
                <w:rFonts w:ascii="Verdana" w:hAnsi="Verdana" w:cs="Calibri"/>
                <w:sz w:val="20"/>
                <w:lang w:eastAsia="en-GB"/>
              </w:rPr>
              <w:t> </w:t>
            </w:r>
          </w:p>
        </w:tc>
        <w:tc>
          <w:tcPr>
            <w:tcW w:w="7099" w:type="dxa"/>
            <w:tcBorders>
              <w:top w:val="nil"/>
              <w:left w:val="nil"/>
              <w:bottom w:val="nil"/>
              <w:right w:val="nil"/>
            </w:tcBorders>
            <w:shd w:val="clear" w:color="auto" w:fill="F2F2F2" w:themeFill="background1" w:themeFillShade="F2"/>
            <w:noWrap/>
            <w:vAlign w:val="bottom"/>
            <w:hideMark/>
          </w:tcPr>
          <w:p w:rsidRPr="00435435" w:rsidR="0049044F" w:rsidP="0049044F" w:rsidRDefault="000569A2">
            <w:pPr>
              <w:overflowPunct/>
              <w:autoSpaceDE/>
              <w:autoSpaceDN/>
              <w:adjustRightInd/>
              <w:jc w:val="left"/>
              <w:textAlignment w:val="auto"/>
              <w:rPr>
                <w:rFonts w:ascii="Verdana" w:hAnsi="Verdana" w:cs="Calibri"/>
                <w:color w:val="000000"/>
                <w:sz w:val="20"/>
                <w:lang w:eastAsia="en-GB"/>
              </w:rPr>
            </w:pPr>
            <w:r w:rsidRPr="00435435">
              <w:rPr>
                <w:rFonts w:ascii="Verdana" w:hAnsi="Verdana" w:cs="Calibri"/>
                <w:color w:val="000000"/>
                <w:sz w:val="20"/>
                <w:lang w:eastAsia="en-GB"/>
              </w:rPr>
              <w:t>Actuarial Gains</w:t>
            </w:r>
            <w:r w:rsidRPr="00435435" w:rsidR="0049044F">
              <w:rPr>
                <w:rFonts w:ascii="Verdana" w:hAnsi="Verdana" w:cs="Calibri"/>
                <w:color w:val="000000"/>
                <w:sz w:val="20"/>
                <w:lang w:eastAsia="en-GB"/>
              </w:rPr>
              <w:t xml:space="preserve"> on Pension Scheme</w:t>
            </w:r>
          </w:p>
        </w:tc>
        <w:tc>
          <w:tcPr>
            <w:tcW w:w="1717" w:type="dxa"/>
            <w:tcBorders>
              <w:top w:val="nil"/>
              <w:left w:val="nil"/>
              <w:bottom w:val="nil"/>
              <w:right w:val="nil"/>
            </w:tcBorders>
            <w:shd w:val="clear" w:color="auto" w:fill="F2F2F2" w:themeFill="background1" w:themeFillShade="F2"/>
            <w:noWrap/>
            <w:vAlign w:val="bottom"/>
            <w:hideMark/>
          </w:tcPr>
          <w:p w:rsidRPr="00945337" w:rsidR="0049044F" w:rsidP="008C502E" w:rsidRDefault="008C502E">
            <w:pPr>
              <w:overflowPunct/>
              <w:autoSpaceDE/>
              <w:autoSpaceDN/>
              <w:adjustRightInd/>
              <w:jc w:val="right"/>
              <w:textAlignment w:val="auto"/>
              <w:rPr>
                <w:rFonts w:ascii="Verdana" w:hAnsi="Verdana" w:cs="Calibri"/>
                <w:sz w:val="20"/>
                <w:lang w:eastAsia="en-GB"/>
              </w:rPr>
            </w:pPr>
            <w:r w:rsidRPr="00945337">
              <w:rPr>
                <w:rFonts w:ascii="Verdana" w:hAnsi="Verdana" w:cs="Calibri"/>
                <w:sz w:val="20"/>
                <w:lang w:eastAsia="en-GB"/>
              </w:rPr>
              <w:t>2</w:t>
            </w:r>
            <w:r w:rsidRPr="00945337" w:rsidR="005C5850">
              <w:rPr>
                <w:rFonts w:ascii="Verdana" w:hAnsi="Verdana" w:cs="Calibri"/>
                <w:sz w:val="20"/>
                <w:lang w:eastAsia="en-GB"/>
              </w:rPr>
              <w:t>,</w:t>
            </w:r>
            <w:r w:rsidRPr="00945337">
              <w:rPr>
                <w:rFonts w:ascii="Verdana" w:hAnsi="Verdana" w:cs="Calibri"/>
                <w:sz w:val="20"/>
                <w:lang w:eastAsia="en-GB"/>
              </w:rPr>
              <w:t>713</w:t>
            </w:r>
            <w:r w:rsidRPr="00945337" w:rsidR="005C5850">
              <w:rPr>
                <w:rFonts w:ascii="Verdana" w:hAnsi="Verdana" w:cs="Calibri"/>
                <w:sz w:val="20"/>
                <w:lang w:eastAsia="en-GB"/>
              </w:rPr>
              <w:t>,000</w:t>
            </w:r>
            <w:r w:rsidRPr="00945337" w:rsidR="0049044F">
              <w:rPr>
                <w:rFonts w:ascii="Verdana" w:hAnsi="Verdana" w:cs="Calibri"/>
                <w:sz w:val="20"/>
                <w:lang w:eastAsia="en-GB"/>
              </w:rPr>
              <w:t xml:space="preserve"> </w:t>
            </w:r>
          </w:p>
        </w:tc>
        <w:tc>
          <w:tcPr>
            <w:tcW w:w="410" w:type="dxa"/>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left"/>
              <w:textAlignment w:val="auto"/>
              <w:rPr>
                <w:rFonts w:ascii="Verdana" w:hAnsi="Verdana" w:cs="Calibri"/>
                <w:color w:val="000000"/>
                <w:sz w:val="20"/>
                <w:lang w:eastAsia="en-GB"/>
              </w:rPr>
            </w:pPr>
            <w:r w:rsidRPr="00435435">
              <w:rPr>
                <w:rFonts w:ascii="Verdana" w:hAnsi="Verdana" w:cs="Calibri"/>
                <w:color w:val="000000"/>
                <w:sz w:val="20"/>
                <w:lang w:eastAsia="en-GB"/>
              </w:rPr>
              <w:t> </w:t>
            </w:r>
          </w:p>
        </w:tc>
      </w:tr>
      <w:tr w:rsidRPr="00435435" w:rsidR="0049044F" w:rsidTr="00BC2CBF">
        <w:trPr>
          <w:trHeight w:val="315"/>
        </w:trPr>
        <w:tc>
          <w:tcPr>
            <w:tcW w:w="0" w:type="auto"/>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left"/>
              <w:textAlignment w:val="auto"/>
              <w:rPr>
                <w:rFonts w:ascii="Verdana" w:hAnsi="Verdana" w:cs="Calibri"/>
                <w:sz w:val="20"/>
                <w:lang w:eastAsia="en-GB"/>
              </w:rPr>
            </w:pPr>
            <w:r w:rsidRPr="00435435">
              <w:rPr>
                <w:rFonts w:ascii="Verdana" w:hAnsi="Verdana" w:cs="Calibri"/>
                <w:sz w:val="20"/>
                <w:lang w:eastAsia="en-GB"/>
              </w:rPr>
              <w:t> </w:t>
            </w:r>
          </w:p>
        </w:tc>
        <w:tc>
          <w:tcPr>
            <w:tcW w:w="7099" w:type="dxa"/>
            <w:tcBorders>
              <w:top w:val="nil"/>
              <w:left w:val="nil"/>
              <w:bottom w:val="nil"/>
              <w:right w:val="nil"/>
            </w:tcBorders>
            <w:shd w:val="clear" w:color="auto" w:fill="F2F2F2" w:themeFill="background1" w:themeFillShade="F2"/>
            <w:noWrap/>
            <w:vAlign w:val="bottom"/>
            <w:hideMark/>
          </w:tcPr>
          <w:p w:rsidRPr="00435435" w:rsidR="0049044F" w:rsidP="002F4D06" w:rsidRDefault="000569A2">
            <w:pPr>
              <w:overflowPunct/>
              <w:autoSpaceDE/>
              <w:autoSpaceDN/>
              <w:adjustRightInd/>
              <w:jc w:val="left"/>
              <w:textAlignment w:val="auto"/>
              <w:rPr>
                <w:rFonts w:ascii="Verdana" w:hAnsi="Verdana" w:cs="Calibri"/>
                <w:color w:val="000000"/>
                <w:sz w:val="20"/>
                <w:lang w:eastAsia="en-GB"/>
              </w:rPr>
            </w:pPr>
            <w:r w:rsidRPr="00435435">
              <w:rPr>
                <w:rFonts w:ascii="Verdana" w:hAnsi="Verdana" w:cs="Calibri"/>
                <w:color w:val="000000"/>
                <w:sz w:val="20"/>
                <w:lang w:eastAsia="en-GB"/>
              </w:rPr>
              <w:t>Reduction</w:t>
            </w:r>
            <w:r w:rsidRPr="00435435" w:rsidR="002F4D06">
              <w:rPr>
                <w:rFonts w:ascii="Verdana" w:hAnsi="Verdana" w:cs="Calibri"/>
                <w:color w:val="000000"/>
                <w:sz w:val="20"/>
                <w:lang w:eastAsia="en-GB"/>
              </w:rPr>
              <w:t xml:space="preserve"> </w:t>
            </w:r>
            <w:r w:rsidRPr="00435435" w:rsidR="0049044F">
              <w:rPr>
                <w:rFonts w:ascii="Verdana" w:hAnsi="Verdana" w:cs="Calibri"/>
                <w:color w:val="000000"/>
                <w:sz w:val="20"/>
                <w:lang w:eastAsia="en-GB"/>
              </w:rPr>
              <w:t>in reimbursement right</w:t>
            </w:r>
          </w:p>
        </w:tc>
        <w:tc>
          <w:tcPr>
            <w:tcW w:w="1717" w:type="dxa"/>
            <w:tcBorders>
              <w:top w:val="nil"/>
              <w:left w:val="nil"/>
              <w:bottom w:val="nil"/>
              <w:right w:val="nil"/>
            </w:tcBorders>
            <w:shd w:val="clear" w:color="auto" w:fill="F2F2F2" w:themeFill="background1" w:themeFillShade="F2"/>
            <w:noWrap/>
            <w:vAlign w:val="bottom"/>
            <w:hideMark/>
          </w:tcPr>
          <w:p w:rsidRPr="00945337" w:rsidR="0049044F" w:rsidP="008C502E" w:rsidRDefault="0049044F">
            <w:pPr>
              <w:overflowPunct/>
              <w:autoSpaceDE/>
              <w:autoSpaceDN/>
              <w:adjustRightInd/>
              <w:jc w:val="right"/>
              <w:textAlignment w:val="auto"/>
              <w:rPr>
                <w:rFonts w:ascii="Verdana" w:hAnsi="Verdana" w:cs="Calibri"/>
                <w:sz w:val="20"/>
                <w:lang w:eastAsia="en-GB"/>
              </w:rPr>
            </w:pPr>
            <w:r w:rsidRPr="00945337">
              <w:rPr>
                <w:rFonts w:ascii="Verdana" w:hAnsi="Verdana" w:cs="Calibri"/>
                <w:sz w:val="20"/>
                <w:lang w:eastAsia="en-GB"/>
              </w:rPr>
              <w:t xml:space="preserve">  </w:t>
            </w:r>
            <w:r w:rsidRPr="00945337" w:rsidR="00FB58E7">
              <w:rPr>
                <w:rFonts w:ascii="Verdana" w:hAnsi="Verdana" w:cs="Calibri"/>
                <w:sz w:val="20"/>
                <w:lang w:eastAsia="en-GB"/>
              </w:rPr>
              <w:t>(</w:t>
            </w:r>
            <w:r w:rsidRPr="00945337" w:rsidR="008C502E">
              <w:rPr>
                <w:rFonts w:ascii="Verdana" w:hAnsi="Verdana" w:cs="Calibri"/>
                <w:sz w:val="20"/>
                <w:lang w:eastAsia="en-GB"/>
              </w:rPr>
              <w:t>2</w:t>
            </w:r>
            <w:r w:rsidRPr="00945337" w:rsidR="000569A2">
              <w:rPr>
                <w:rFonts w:ascii="Verdana" w:hAnsi="Verdana" w:cs="Calibri"/>
                <w:sz w:val="20"/>
                <w:lang w:eastAsia="en-GB"/>
              </w:rPr>
              <w:t>,</w:t>
            </w:r>
            <w:r w:rsidRPr="00945337" w:rsidR="008C502E">
              <w:rPr>
                <w:rFonts w:ascii="Verdana" w:hAnsi="Verdana" w:cs="Calibri"/>
                <w:sz w:val="20"/>
                <w:lang w:eastAsia="en-GB"/>
              </w:rPr>
              <w:t>713</w:t>
            </w:r>
            <w:r w:rsidRPr="00945337" w:rsidR="000569A2">
              <w:rPr>
                <w:rFonts w:ascii="Verdana" w:hAnsi="Verdana" w:cs="Calibri"/>
                <w:sz w:val="20"/>
                <w:lang w:eastAsia="en-GB"/>
              </w:rPr>
              <w:t>,000</w:t>
            </w:r>
            <w:r w:rsidRPr="00945337" w:rsidR="00FB58E7">
              <w:rPr>
                <w:rFonts w:ascii="Verdana" w:hAnsi="Verdana" w:cs="Calibri"/>
                <w:sz w:val="20"/>
                <w:lang w:eastAsia="en-GB"/>
              </w:rPr>
              <w:t>)</w:t>
            </w:r>
            <w:r w:rsidRPr="00945337">
              <w:rPr>
                <w:rFonts w:ascii="Verdana" w:hAnsi="Verdana" w:cs="Calibri"/>
                <w:sz w:val="20"/>
                <w:lang w:eastAsia="en-GB"/>
              </w:rPr>
              <w:t xml:space="preserve"> </w:t>
            </w:r>
          </w:p>
        </w:tc>
        <w:tc>
          <w:tcPr>
            <w:tcW w:w="410" w:type="dxa"/>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left"/>
              <w:textAlignment w:val="auto"/>
              <w:rPr>
                <w:rFonts w:ascii="Verdana" w:hAnsi="Verdana" w:cs="Calibri"/>
                <w:sz w:val="20"/>
                <w:lang w:eastAsia="en-GB"/>
              </w:rPr>
            </w:pPr>
            <w:r w:rsidRPr="00435435">
              <w:rPr>
                <w:rFonts w:ascii="Verdana" w:hAnsi="Verdana" w:cs="Calibri"/>
                <w:sz w:val="20"/>
                <w:lang w:eastAsia="en-GB"/>
              </w:rPr>
              <w:t> </w:t>
            </w:r>
          </w:p>
        </w:tc>
      </w:tr>
      <w:tr w:rsidRPr="00435435" w:rsidR="0049044F" w:rsidTr="00BC2CBF">
        <w:trPr>
          <w:trHeight w:val="330"/>
        </w:trPr>
        <w:tc>
          <w:tcPr>
            <w:tcW w:w="0" w:type="auto"/>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left"/>
              <w:textAlignment w:val="auto"/>
              <w:rPr>
                <w:rFonts w:ascii="Verdana" w:hAnsi="Verdana" w:cs="Calibri"/>
                <w:sz w:val="20"/>
                <w:lang w:eastAsia="en-GB"/>
              </w:rPr>
            </w:pPr>
            <w:r w:rsidRPr="00435435">
              <w:rPr>
                <w:rFonts w:ascii="Verdana" w:hAnsi="Verdana" w:cs="Calibri"/>
                <w:sz w:val="20"/>
                <w:lang w:eastAsia="en-GB"/>
              </w:rPr>
              <w:t> </w:t>
            </w:r>
          </w:p>
        </w:tc>
        <w:tc>
          <w:tcPr>
            <w:tcW w:w="7099" w:type="dxa"/>
            <w:tcBorders>
              <w:top w:val="nil"/>
              <w:left w:val="nil"/>
              <w:bottom w:val="nil"/>
              <w:right w:val="nil"/>
            </w:tcBorders>
            <w:shd w:val="clear" w:color="auto" w:fill="F2F2F2" w:themeFill="background1" w:themeFillShade="F2"/>
            <w:noWrap/>
            <w:vAlign w:val="bottom"/>
            <w:hideMark/>
          </w:tcPr>
          <w:p w:rsidRPr="00435435" w:rsidR="0049044F" w:rsidP="00D24232" w:rsidRDefault="0049044F">
            <w:pPr>
              <w:overflowPunct/>
              <w:autoSpaceDE/>
              <w:autoSpaceDN/>
              <w:adjustRightInd/>
              <w:jc w:val="left"/>
              <w:textAlignment w:val="auto"/>
              <w:rPr>
                <w:rFonts w:ascii="Verdana" w:hAnsi="Verdana" w:cs="Calibri"/>
                <w:sz w:val="20"/>
                <w:lang w:eastAsia="en-GB"/>
              </w:rPr>
            </w:pPr>
            <w:r w:rsidRPr="00435435">
              <w:rPr>
                <w:rFonts w:ascii="Verdana" w:hAnsi="Verdana" w:cs="Calibri"/>
                <w:sz w:val="20"/>
                <w:lang w:eastAsia="en-GB"/>
              </w:rPr>
              <w:t>Total compre</w:t>
            </w:r>
            <w:r w:rsidRPr="00435435" w:rsidR="002F4D06">
              <w:rPr>
                <w:rFonts w:ascii="Verdana" w:hAnsi="Verdana" w:cs="Calibri"/>
                <w:sz w:val="20"/>
                <w:lang w:eastAsia="en-GB"/>
              </w:rPr>
              <w:t>he</w:t>
            </w:r>
            <w:r w:rsidR="00D24232">
              <w:rPr>
                <w:rFonts w:ascii="Verdana" w:hAnsi="Verdana" w:cs="Calibri"/>
                <w:sz w:val="20"/>
                <w:lang w:eastAsia="en-GB"/>
              </w:rPr>
              <w:t>nsive loss</w:t>
            </w:r>
            <w:r w:rsidRPr="00435435">
              <w:rPr>
                <w:rFonts w:ascii="Verdana" w:hAnsi="Verdana" w:cs="Calibri"/>
                <w:sz w:val="20"/>
                <w:lang w:eastAsia="en-GB"/>
              </w:rPr>
              <w:t xml:space="preserve"> for the year</w:t>
            </w:r>
          </w:p>
        </w:tc>
        <w:tc>
          <w:tcPr>
            <w:tcW w:w="1717" w:type="dxa"/>
            <w:tcBorders>
              <w:top w:val="single" w:color="auto" w:sz="4" w:space="0"/>
              <w:left w:val="nil"/>
              <w:bottom w:val="single" w:color="auto" w:sz="8" w:space="0"/>
              <w:right w:val="nil"/>
            </w:tcBorders>
            <w:shd w:val="clear" w:color="auto" w:fill="F2F2F2" w:themeFill="background1" w:themeFillShade="F2"/>
            <w:noWrap/>
            <w:vAlign w:val="bottom"/>
            <w:hideMark/>
          </w:tcPr>
          <w:p w:rsidRPr="00945337" w:rsidR="0049044F" w:rsidP="008C502E" w:rsidRDefault="0049044F">
            <w:pPr>
              <w:overflowPunct/>
              <w:autoSpaceDE/>
              <w:autoSpaceDN/>
              <w:adjustRightInd/>
              <w:jc w:val="right"/>
              <w:textAlignment w:val="auto"/>
              <w:rPr>
                <w:rFonts w:ascii="Verdana" w:hAnsi="Verdana" w:cs="Calibri"/>
                <w:sz w:val="20"/>
                <w:lang w:eastAsia="en-GB"/>
              </w:rPr>
            </w:pPr>
            <w:r w:rsidRPr="00945337">
              <w:rPr>
                <w:rFonts w:ascii="Verdana" w:hAnsi="Verdana" w:cs="Calibri"/>
                <w:sz w:val="20"/>
                <w:lang w:eastAsia="en-GB"/>
              </w:rPr>
              <w:t xml:space="preserve">     </w:t>
            </w:r>
            <w:r w:rsidRPr="00945337" w:rsidR="008C502E">
              <w:rPr>
                <w:rFonts w:ascii="Verdana" w:hAnsi="Verdana" w:cs="Calibri"/>
                <w:sz w:val="20"/>
                <w:lang w:eastAsia="en-GB"/>
              </w:rPr>
              <w:t>(741</w:t>
            </w:r>
            <w:r w:rsidRPr="00945337" w:rsidR="005C5850">
              <w:rPr>
                <w:rFonts w:ascii="Verdana" w:hAnsi="Verdana" w:cs="Calibri"/>
                <w:sz w:val="20"/>
                <w:lang w:eastAsia="en-GB"/>
              </w:rPr>
              <w:t>,</w:t>
            </w:r>
            <w:r w:rsidRPr="00945337" w:rsidR="008C502E">
              <w:rPr>
                <w:rFonts w:ascii="Verdana" w:hAnsi="Verdana" w:cs="Calibri"/>
                <w:sz w:val="20"/>
                <w:lang w:eastAsia="en-GB"/>
              </w:rPr>
              <w:t>687)</w:t>
            </w:r>
            <w:r w:rsidRPr="00945337">
              <w:rPr>
                <w:rFonts w:ascii="Verdana" w:hAnsi="Verdana" w:cs="Calibri"/>
                <w:sz w:val="20"/>
                <w:lang w:eastAsia="en-GB"/>
              </w:rPr>
              <w:t xml:space="preserve"> </w:t>
            </w:r>
          </w:p>
        </w:tc>
        <w:tc>
          <w:tcPr>
            <w:tcW w:w="410" w:type="dxa"/>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left"/>
              <w:textAlignment w:val="auto"/>
              <w:rPr>
                <w:rFonts w:ascii="Verdana" w:hAnsi="Verdana" w:cs="Calibri"/>
                <w:sz w:val="20"/>
                <w:lang w:eastAsia="en-GB"/>
              </w:rPr>
            </w:pPr>
            <w:r w:rsidRPr="00435435">
              <w:rPr>
                <w:rFonts w:ascii="Verdana" w:hAnsi="Verdana" w:cs="Calibri"/>
                <w:sz w:val="20"/>
                <w:lang w:eastAsia="en-GB"/>
              </w:rPr>
              <w:t> </w:t>
            </w:r>
          </w:p>
        </w:tc>
      </w:tr>
      <w:tr w:rsidRPr="00435435" w:rsidR="0049044F" w:rsidTr="00BC2CBF">
        <w:trPr>
          <w:trHeight w:val="315"/>
        </w:trPr>
        <w:tc>
          <w:tcPr>
            <w:tcW w:w="0" w:type="auto"/>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left"/>
              <w:textAlignment w:val="auto"/>
              <w:rPr>
                <w:rFonts w:ascii="Verdana" w:hAnsi="Verdana" w:cs="Calibri"/>
                <w:sz w:val="20"/>
                <w:lang w:eastAsia="en-GB"/>
              </w:rPr>
            </w:pPr>
            <w:r w:rsidRPr="00435435">
              <w:rPr>
                <w:rFonts w:ascii="Verdana" w:hAnsi="Verdana" w:cs="Calibri"/>
                <w:sz w:val="20"/>
                <w:lang w:eastAsia="en-GB"/>
              </w:rPr>
              <w:t> </w:t>
            </w:r>
          </w:p>
        </w:tc>
        <w:tc>
          <w:tcPr>
            <w:tcW w:w="7099" w:type="dxa"/>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left"/>
              <w:textAlignment w:val="auto"/>
              <w:rPr>
                <w:rFonts w:ascii="Verdana" w:hAnsi="Verdana" w:cs="Calibri"/>
                <w:sz w:val="20"/>
                <w:lang w:eastAsia="en-GB"/>
              </w:rPr>
            </w:pPr>
            <w:r w:rsidRPr="00435435">
              <w:rPr>
                <w:rFonts w:ascii="Verdana" w:hAnsi="Verdana" w:cs="Calibri"/>
                <w:sz w:val="20"/>
                <w:lang w:eastAsia="en-GB"/>
              </w:rPr>
              <w:t> </w:t>
            </w:r>
          </w:p>
        </w:tc>
        <w:tc>
          <w:tcPr>
            <w:tcW w:w="1717" w:type="dxa"/>
            <w:tcBorders>
              <w:top w:val="nil"/>
              <w:left w:val="nil"/>
              <w:bottom w:val="nil"/>
              <w:right w:val="nil"/>
            </w:tcBorders>
            <w:shd w:val="clear" w:color="auto" w:fill="F2F2F2" w:themeFill="background1" w:themeFillShade="F2"/>
            <w:noWrap/>
            <w:vAlign w:val="bottom"/>
            <w:hideMark/>
          </w:tcPr>
          <w:p w:rsidRPr="00945337" w:rsidR="0049044F" w:rsidP="0049044F" w:rsidRDefault="0049044F">
            <w:pPr>
              <w:overflowPunct/>
              <w:autoSpaceDE/>
              <w:autoSpaceDN/>
              <w:adjustRightInd/>
              <w:jc w:val="right"/>
              <w:textAlignment w:val="auto"/>
              <w:rPr>
                <w:rFonts w:ascii="Verdana" w:hAnsi="Verdana" w:cs="Calibri"/>
                <w:sz w:val="20"/>
                <w:lang w:eastAsia="en-GB"/>
              </w:rPr>
            </w:pPr>
            <w:r w:rsidRPr="00945337">
              <w:rPr>
                <w:rFonts w:ascii="Verdana" w:hAnsi="Verdana" w:cs="Calibri"/>
                <w:sz w:val="20"/>
                <w:lang w:eastAsia="en-GB"/>
              </w:rPr>
              <w:t> </w:t>
            </w:r>
          </w:p>
        </w:tc>
        <w:tc>
          <w:tcPr>
            <w:tcW w:w="410" w:type="dxa"/>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left"/>
              <w:textAlignment w:val="auto"/>
              <w:rPr>
                <w:rFonts w:ascii="Verdana" w:hAnsi="Verdana" w:cs="Calibri"/>
                <w:sz w:val="20"/>
                <w:lang w:eastAsia="en-GB"/>
              </w:rPr>
            </w:pPr>
            <w:r w:rsidRPr="00435435">
              <w:rPr>
                <w:rFonts w:ascii="Verdana" w:hAnsi="Verdana" w:cs="Calibri"/>
                <w:sz w:val="20"/>
                <w:lang w:eastAsia="en-GB"/>
              </w:rPr>
              <w:t> </w:t>
            </w:r>
          </w:p>
        </w:tc>
      </w:tr>
      <w:tr w:rsidRPr="00435435" w:rsidR="0049044F" w:rsidTr="00BC2CBF">
        <w:trPr>
          <w:trHeight w:val="315"/>
        </w:trPr>
        <w:tc>
          <w:tcPr>
            <w:tcW w:w="0" w:type="auto"/>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left"/>
              <w:textAlignment w:val="auto"/>
              <w:rPr>
                <w:rFonts w:ascii="Verdana" w:hAnsi="Verdana" w:cs="Calibri"/>
                <w:sz w:val="20"/>
                <w:lang w:eastAsia="en-GB"/>
              </w:rPr>
            </w:pPr>
            <w:r w:rsidRPr="00435435">
              <w:rPr>
                <w:rFonts w:ascii="Verdana" w:hAnsi="Verdana" w:cs="Calibri"/>
                <w:sz w:val="20"/>
                <w:lang w:eastAsia="en-GB"/>
              </w:rPr>
              <w:t> </w:t>
            </w:r>
          </w:p>
        </w:tc>
        <w:tc>
          <w:tcPr>
            <w:tcW w:w="7099" w:type="dxa"/>
            <w:tcBorders>
              <w:top w:val="nil"/>
              <w:left w:val="nil"/>
              <w:bottom w:val="nil"/>
              <w:right w:val="nil"/>
            </w:tcBorders>
            <w:shd w:val="clear" w:color="auto" w:fill="F2F2F2" w:themeFill="background1" w:themeFillShade="F2"/>
            <w:noWrap/>
            <w:vAlign w:val="bottom"/>
            <w:hideMark/>
          </w:tcPr>
          <w:p w:rsidRPr="00435435" w:rsidR="0049044F" w:rsidP="00945337" w:rsidRDefault="0049044F">
            <w:pPr>
              <w:overflowPunct/>
              <w:autoSpaceDE/>
              <w:autoSpaceDN/>
              <w:adjustRightInd/>
              <w:jc w:val="left"/>
              <w:textAlignment w:val="auto"/>
              <w:rPr>
                <w:rFonts w:ascii="Verdana" w:hAnsi="Verdana" w:cs="Calibri"/>
                <w:b/>
                <w:bCs/>
                <w:sz w:val="20"/>
                <w:lang w:eastAsia="en-GB"/>
              </w:rPr>
            </w:pPr>
            <w:r w:rsidRPr="00435435">
              <w:rPr>
                <w:rFonts w:ascii="Verdana" w:hAnsi="Verdana" w:cs="Calibri"/>
                <w:b/>
                <w:bCs/>
                <w:sz w:val="20"/>
                <w:lang w:eastAsia="en-GB"/>
              </w:rPr>
              <w:t>Profit &amp; loss account at 31 March 201</w:t>
            </w:r>
            <w:r w:rsidR="00945337">
              <w:rPr>
                <w:rFonts w:ascii="Verdana" w:hAnsi="Verdana" w:cs="Calibri"/>
                <w:b/>
                <w:bCs/>
                <w:sz w:val="20"/>
                <w:lang w:eastAsia="en-GB"/>
              </w:rPr>
              <w:t>7</w:t>
            </w:r>
          </w:p>
        </w:tc>
        <w:tc>
          <w:tcPr>
            <w:tcW w:w="1717" w:type="dxa"/>
            <w:tcBorders>
              <w:top w:val="nil"/>
              <w:left w:val="nil"/>
              <w:bottom w:val="nil"/>
              <w:right w:val="nil"/>
            </w:tcBorders>
            <w:shd w:val="clear" w:color="auto" w:fill="F2F2F2" w:themeFill="background1" w:themeFillShade="F2"/>
            <w:noWrap/>
            <w:vAlign w:val="bottom"/>
            <w:hideMark/>
          </w:tcPr>
          <w:p w:rsidRPr="00945337" w:rsidR="0049044F" w:rsidP="008C502E" w:rsidRDefault="0049044F">
            <w:pPr>
              <w:overflowPunct/>
              <w:autoSpaceDE/>
              <w:autoSpaceDN/>
              <w:adjustRightInd/>
              <w:jc w:val="right"/>
              <w:textAlignment w:val="auto"/>
              <w:rPr>
                <w:rFonts w:ascii="Verdana" w:hAnsi="Verdana" w:cs="Calibri"/>
                <w:b/>
                <w:bCs/>
                <w:sz w:val="20"/>
                <w:lang w:eastAsia="en-GB"/>
              </w:rPr>
            </w:pPr>
            <w:r w:rsidRPr="00945337">
              <w:rPr>
                <w:rFonts w:ascii="Verdana" w:hAnsi="Verdana" w:cs="Calibri"/>
                <w:b/>
                <w:bCs/>
                <w:sz w:val="20"/>
                <w:lang w:eastAsia="en-GB"/>
              </w:rPr>
              <w:t xml:space="preserve">  </w:t>
            </w:r>
            <w:r w:rsidRPr="00945337" w:rsidR="008C502E">
              <w:rPr>
                <w:rFonts w:ascii="Verdana" w:hAnsi="Verdana" w:cs="Calibri"/>
                <w:b/>
                <w:bCs/>
                <w:sz w:val="20"/>
                <w:lang w:eastAsia="en-GB"/>
              </w:rPr>
              <w:t>3</w:t>
            </w:r>
            <w:r w:rsidRPr="00945337" w:rsidR="005C5850">
              <w:rPr>
                <w:rFonts w:ascii="Verdana" w:hAnsi="Verdana" w:cs="Calibri"/>
                <w:b/>
                <w:bCs/>
                <w:sz w:val="20"/>
                <w:lang w:eastAsia="en-GB"/>
              </w:rPr>
              <w:t>,</w:t>
            </w:r>
            <w:r w:rsidRPr="00945337" w:rsidR="008C502E">
              <w:rPr>
                <w:rFonts w:ascii="Verdana" w:hAnsi="Verdana" w:cs="Calibri"/>
                <w:b/>
                <w:bCs/>
                <w:sz w:val="20"/>
                <w:lang w:eastAsia="en-GB"/>
              </w:rPr>
              <w:t>960</w:t>
            </w:r>
            <w:r w:rsidRPr="00945337" w:rsidR="005C5850">
              <w:rPr>
                <w:rFonts w:ascii="Verdana" w:hAnsi="Verdana" w:cs="Calibri"/>
                <w:b/>
                <w:bCs/>
                <w:sz w:val="20"/>
                <w:lang w:eastAsia="en-GB"/>
              </w:rPr>
              <w:t>,</w:t>
            </w:r>
            <w:r w:rsidRPr="00945337" w:rsidR="008C502E">
              <w:rPr>
                <w:rFonts w:ascii="Verdana" w:hAnsi="Verdana" w:cs="Calibri"/>
                <w:b/>
                <w:bCs/>
                <w:sz w:val="20"/>
                <w:lang w:eastAsia="en-GB"/>
              </w:rPr>
              <w:t>555</w:t>
            </w:r>
            <w:r w:rsidRPr="00945337">
              <w:rPr>
                <w:rFonts w:ascii="Verdana" w:hAnsi="Verdana" w:cs="Calibri"/>
                <w:b/>
                <w:bCs/>
                <w:sz w:val="20"/>
                <w:lang w:eastAsia="en-GB"/>
              </w:rPr>
              <w:t xml:space="preserve"> </w:t>
            </w:r>
          </w:p>
        </w:tc>
        <w:tc>
          <w:tcPr>
            <w:tcW w:w="410" w:type="dxa"/>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left"/>
              <w:textAlignment w:val="auto"/>
              <w:rPr>
                <w:rFonts w:ascii="Verdana" w:hAnsi="Verdana" w:cs="Calibri"/>
                <w:sz w:val="20"/>
                <w:lang w:eastAsia="en-GB"/>
              </w:rPr>
            </w:pPr>
            <w:r w:rsidRPr="00435435">
              <w:rPr>
                <w:rFonts w:ascii="Verdana" w:hAnsi="Verdana" w:cs="Calibri"/>
                <w:sz w:val="20"/>
                <w:lang w:eastAsia="en-GB"/>
              </w:rPr>
              <w:t> </w:t>
            </w:r>
          </w:p>
        </w:tc>
      </w:tr>
      <w:tr w:rsidRPr="00435435" w:rsidR="0049044F" w:rsidTr="00BC2CBF">
        <w:trPr>
          <w:trHeight w:val="315"/>
        </w:trPr>
        <w:tc>
          <w:tcPr>
            <w:tcW w:w="0" w:type="auto"/>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left"/>
              <w:textAlignment w:val="auto"/>
              <w:rPr>
                <w:rFonts w:ascii="Verdana" w:hAnsi="Verdana" w:cs="Calibri"/>
                <w:sz w:val="20"/>
                <w:lang w:eastAsia="en-GB"/>
              </w:rPr>
            </w:pPr>
            <w:r w:rsidRPr="00435435">
              <w:rPr>
                <w:rFonts w:ascii="Verdana" w:hAnsi="Verdana" w:cs="Calibri"/>
                <w:sz w:val="20"/>
                <w:lang w:eastAsia="en-GB"/>
              </w:rPr>
              <w:t> </w:t>
            </w:r>
          </w:p>
        </w:tc>
        <w:tc>
          <w:tcPr>
            <w:tcW w:w="7099" w:type="dxa"/>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left"/>
              <w:textAlignment w:val="auto"/>
              <w:rPr>
                <w:rFonts w:ascii="Verdana" w:hAnsi="Verdana" w:cs="Calibri"/>
                <w:sz w:val="20"/>
                <w:lang w:eastAsia="en-GB"/>
              </w:rPr>
            </w:pPr>
            <w:r w:rsidRPr="00435435">
              <w:rPr>
                <w:rFonts w:ascii="Verdana" w:hAnsi="Verdana" w:cs="Calibri"/>
                <w:sz w:val="20"/>
                <w:lang w:eastAsia="en-GB"/>
              </w:rPr>
              <w:t> </w:t>
            </w:r>
          </w:p>
        </w:tc>
        <w:tc>
          <w:tcPr>
            <w:tcW w:w="1717" w:type="dxa"/>
            <w:tcBorders>
              <w:top w:val="nil"/>
              <w:left w:val="nil"/>
              <w:bottom w:val="nil"/>
              <w:right w:val="nil"/>
            </w:tcBorders>
            <w:shd w:val="clear" w:color="auto" w:fill="F2F2F2" w:themeFill="background1" w:themeFillShade="F2"/>
            <w:noWrap/>
            <w:vAlign w:val="bottom"/>
            <w:hideMark/>
          </w:tcPr>
          <w:p w:rsidRPr="00945337" w:rsidR="0049044F" w:rsidP="0049044F" w:rsidRDefault="0049044F">
            <w:pPr>
              <w:overflowPunct/>
              <w:autoSpaceDE/>
              <w:autoSpaceDN/>
              <w:adjustRightInd/>
              <w:jc w:val="right"/>
              <w:textAlignment w:val="auto"/>
              <w:rPr>
                <w:rFonts w:ascii="Verdana" w:hAnsi="Verdana" w:cs="Calibri"/>
                <w:sz w:val="20"/>
                <w:lang w:eastAsia="en-GB"/>
              </w:rPr>
            </w:pPr>
            <w:r w:rsidRPr="00945337">
              <w:rPr>
                <w:rFonts w:ascii="Verdana" w:hAnsi="Verdana" w:cs="Calibri"/>
                <w:sz w:val="20"/>
                <w:lang w:eastAsia="en-GB"/>
              </w:rPr>
              <w:t> </w:t>
            </w:r>
          </w:p>
        </w:tc>
        <w:tc>
          <w:tcPr>
            <w:tcW w:w="410" w:type="dxa"/>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left"/>
              <w:textAlignment w:val="auto"/>
              <w:rPr>
                <w:rFonts w:ascii="Verdana" w:hAnsi="Verdana" w:cs="Calibri"/>
                <w:sz w:val="20"/>
                <w:lang w:eastAsia="en-GB"/>
              </w:rPr>
            </w:pPr>
            <w:r w:rsidRPr="00435435">
              <w:rPr>
                <w:rFonts w:ascii="Verdana" w:hAnsi="Verdana" w:cs="Calibri"/>
                <w:sz w:val="20"/>
                <w:lang w:eastAsia="en-GB"/>
              </w:rPr>
              <w:t> </w:t>
            </w:r>
          </w:p>
        </w:tc>
      </w:tr>
      <w:tr w:rsidRPr="00435435" w:rsidR="0049044F" w:rsidTr="00BC2CBF">
        <w:trPr>
          <w:trHeight w:val="315"/>
        </w:trPr>
        <w:tc>
          <w:tcPr>
            <w:tcW w:w="0" w:type="auto"/>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left"/>
              <w:textAlignment w:val="auto"/>
              <w:rPr>
                <w:rFonts w:ascii="Verdana" w:hAnsi="Verdana" w:cs="Calibri"/>
                <w:sz w:val="20"/>
                <w:lang w:eastAsia="en-GB"/>
              </w:rPr>
            </w:pPr>
            <w:r w:rsidRPr="00435435">
              <w:rPr>
                <w:rFonts w:ascii="Verdana" w:hAnsi="Verdana" w:cs="Calibri"/>
                <w:sz w:val="20"/>
                <w:lang w:eastAsia="en-GB"/>
              </w:rPr>
              <w:t> </w:t>
            </w:r>
          </w:p>
        </w:tc>
        <w:tc>
          <w:tcPr>
            <w:tcW w:w="7099" w:type="dxa"/>
            <w:tcBorders>
              <w:top w:val="nil"/>
              <w:left w:val="nil"/>
              <w:bottom w:val="nil"/>
              <w:right w:val="nil"/>
            </w:tcBorders>
            <w:shd w:val="clear" w:color="auto" w:fill="F2F2F2" w:themeFill="background1" w:themeFillShade="F2"/>
            <w:noWrap/>
            <w:vAlign w:val="bottom"/>
            <w:hideMark/>
          </w:tcPr>
          <w:p w:rsidRPr="00435435" w:rsidR="0049044F" w:rsidP="0049044F" w:rsidRDefault="00945337">
            <w:pPr>
              <w:overflowPunct/>
              <w:autoSpaceDE/>
              <w:autoSpaceDN/>
              <w:adjustRightInd/>
              <w:jc w:val="left"/>
              <w:textAlignment w:val="auto"/>
              <w:rPr>
                <w:rFonts w:ascii="Verdana" w:hAnsi="Verdana" w:cs="Calibri"/>
                <w:sz w:val="20"/>
                <w:lang w:eastAsia="en-GB"/>
              </w:rPr>
            </w:pPr>
            <w:r>
              <w:rPr>
                <w:rFonts w:ascii="Verdana" w:hAnsi="Verdana" w:cs="Calibri"/>
                <w:sz w:val="20"/>
                <w:lang w:eastAsia="en-GB"/>
              </w:rPr>
              <w:t>(</w:t>
            </w:r>
            <w:r w:rsidRPr="00435435" w:rsidR="00D526C1">
              <w:rPr>
                <w:rFonts w:ascii="Verdana" w:hAnsi="Verdana" w:cs="Calibri"/>
                <w:sz w:val="20"/>
                <w:lang w:eastAsia="en-GB"/>
              </w:rPr>
              <w:t>Loss</w:t>
            </w:r>
            <w:r>
              <w:rPr>
                <w:rFonts w:ascii="Verdana" w:hAnsi="Verdana" w:cs="Calibri"/>
                <w:sz w:val="20"/>
                <w:lang w:eastAsia="en-GB"/>
              </w:rPr>
              <w:t>)/Profit</w:t>
            </w:r>
            <w:r w:rsidRPr="00435435" w:rsidR="0049044F">
              <w:rPr>
                <w:rFonts w:ascii="Verdana" w:hAnsi="Verdana" w:cs="Calibri"/>
                <w:sz w:val="20"/>
                <w:lang w:eastAsia="en-GB"/>
              </w:rPr>
              <w:t xml:space="preserve"> for the year</w:t>
            </w:r>
          </w:p>
        </w:tc>
        <w:tc>
          <w:tcPr>
            <w:tcW w:w="1717" w:type="dxa"/>
            <w:tcBorders>
              <w:top w:val="nil"/>
              <w:left w:val="nil"/>
              <w:bottom w:val="nil"/>
              <w:right w:val="nil"/>
            </w:tcBorders>
            <w:shd w:val="clear" w:color="auto" w:fill="F2F2F2" w:themeFill="background1" w:themeFillShade="F2"/>
            <w:noWrap/>
            <w:vAlign w:val="bottom"/>
            <w:hideMark/>
          </w:tcPr>
          <w:p w:rsidRPr="00945337" w:rsidR="0049044F" w:rsidP="00B111FF" w:rsidRDefault="00FB58E7">
            <w:pPr>
              <w:overflowPunct/>
              <w:autoSpaceDE/>
              <w:autoSpaceDN/>
              <w:adjustRightInd/>
              <w:jc w:val="right"/>
              <w:textAlignment w:val="auto"/>
              <w:rPr>
                <w:rFonts w:ascii="Verdana" w:hAnsi="Verdana" w:cs="Calibri"/>
                <w:sz w:val="20"/>
                <w:lang w:eastAsia="en-GB"/>
              </w:rPr>
            </w:pPr>
            <w:r w:rsidRPr="00945337">
              <w:rPr>
                <w:rFonts w:ascii="Verdana" w:hAnsi="Verdana" w:cs="Calibri"/>
                <w:sz w:val="20"/>
                <w:lang w:eastAsia="en-GB"/>
              </w:rPr>
              <w:t>(</w:t>
            </w:r>
            <w:r w:rsidRPr="00945337" w:rsidR="008C502E">
              <w:rPr>
                <w:rFonts w:ascii="Verdana" w:hAnsi="Verdana" w:cs="Calibri"/>
                <w:sz w:val="20"/>
                <w:lang w:eastAsia="en-GB"/>
              </w:rPr>
              <w:t>739</w:t>
            </w:r>
            <w:r w:rsidRPr="00945337" w:rsidR="00D526C1">
              <w:rPr>
                <w:rFonts w:ascii="Verdana" w:hAnsi="Verdana" w:cs="Calibri"/>
                <w:sz w:val="20"/>
                <w:lang w:eastAsia="en-GB"/>
              </w:rPr>
              <w:t>,</w:t>
            </w:r>
            <w:r w:rsidRPr="00945337" w:rsidR="008C502E">
              <w:rPr>
                <w:rFonts w:ascii="Verdana" w:hAnsi="Verdana" w:cs="Calibri"/>
                <w:sz w:val="20"/>
                <w:lang w:eastAsia="en-GB"/>
              </w:rPr>
              <w:t>0</w:t>
            </w:r>
            <w:r w:rsidRPr="00945337" w:rsidR="00B111FF">
              <w:rPr>
                <w:rFonts w:ascii="Verdana" w:hAnsi="Verdana" w:cs="Calibri"/>
                <w:sz w:val="20"/>
                <w:lang w:eastAsia="en-GB"/>
              </w:rPr>
              <w:t>90</w:t>
            </w:r>
            <w:r w:rsidRPr="00945337">
              <w:rPr>
                <w:rFonts w:ascii="Verdana" w:hAnsi="Verdana" w:cs="Calibri"/>
                <w:sz w:val="20"/>
                <w:lang w:eastAsia="en-GB"/>
              </w:rPr>
              <w:t>)</w:t>
            </w:r>
          </w:p>
        </w:tc>
        <w:tc>
          <w:tcPr>
            <w:tcW w:w="410" w:type="dxa"/>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left"/>
              <w:textAlignment w:val="auto"/>
              <w:rPr>
                <w:rFonts w:ascii="Verdana" w:hAnsi="Verdana" w:cs="Calibri"/>
                <w:sz w:val="20"/>
                <w:lang w:eastAsia="en-GB"/>
              </w:rPr>
            </w:pPr>
            <w:r w:rsidRPr="00435435">
              <w:rPr>
                <w:rFonts w:ascii="Verdana" w:hAnsi="Verdana" w:cs="Calibri"/>
                <w:sz w:val="20"/>
                <w:lang w:eastAsia="en-GB"/>
              </w:rPr>
              <w:t> </w:t>
            </w:r>
          </w:p>
        </w:tc>
      </w:tr>
      <w:tr w:rsidRPr="00435435" w:rsidR="0049044F" w:rsidTr="00BC2CBF">
        <w:trPr>
          <w:trHeight w:val="315"/>
        </w:trPr>
        <w:tc>
          <w:tcPr>
            <w:tcW w:w="0" w:type="auto"/>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left"/>
              <w:textAlignment w:val="auto"/>
              <w:rPr>
                <w:rFonts w:ascii="Verdana" w:hAnsi="Verdana" w:cs="Calibri"/>
                <w:sz w:val="20"/>
                <w:lang w:eastAsia="en-GB"/>
              </w:rPr>
            </w:pPr>
            <w:r w:rsidRPr="00435435">
              <w:rPr>
                <w:rFonts w:ascii="Verdana" w:hAnsi="Verdana" w:cs="Calibri"/>
                <w:sz w:val="20"/>
                <w:lang w:eastAsia="en-GB"/>
              </w:rPr>
              <w:t> </w:t>
            </w:r>
          </w:p>
        </w:tc>
        <w:tc>
          <w:tcPr>
            <w:tcW w:w="7099" w:type="dxa"/>
            <w:tcBorders>
              <w:top w:val="nil"/>
              <w:left w:val="nil"/>
              <w:bottom w:val="nil"/>
              <w:right w:val="nil"/>
            </w:tcBorders>
            <w:shd w:val="clear" w:color="auto" w:fill="F2F2F2" w:themeFill="background1" w:themeFillShade="F2"/>
            <w:noWrap/>
            <w:vAlign w:val="bottom"/>
            <w:hideMark/>
          </w:tcPr>
          <w:p w:rsidRPr="00435435" w:rsidR="0049044F" w:rsidP="0049044F" w:rsidRDefault="002F4D06">
            <w:pPr>
              <w:overflowPunct/>
              <w:autoSpaceDE/>
              <w:autoSpaceDN/>
              <w:adjustRightInd/>
              <w:jc w:val="left"/>
              <w:textAlignment w:val="auto"/>
              <w:rPr>
                <w:rFonts w:ascii="Verdana" w:hAnsi="Verdana" w:cs="Calibri"/>
                <w:color w:val="000000"/>
                <w:sz w:val="20"/>
                <w:lang w:eastAsia="en-GB"/>
              </w:rPr>
            </w:pPr>
            <w:r w:rsidRPr="00435435">
              <w:rPr>
                <w:rFonts w:ascii="Verdana" w:hAnsi="Verdana" w:cs="Calibri"/>
                <w:color w:val="000000"/>
                <w:sz w:val="20"/>
                <w:lang w:eastAsia="en-GB"/>
              </w:rPr>
              <w:t>Actuarial gains</w:t>
            </w:r>
            <w:r w:rsidRPr="00435435" w:rsidR="0049044F">
              <w:rPr>
                <w:rFonts w:ascii="Verdana" w:hAnsi="Verdana" w:cs="Calibri"/>
                <w:color w:val="000000"/>
                <w:sz w:val="20"/>
                <w:lang w:eastAsia="en-GB"/>
              </w:rPr>
              <w:t xml:space="preserve"> on Pension Scheme</w:t>
            </w:r>
          </w:p>
        </w:tc>
        <w:tc>
          <w:tcPr>
            <w:tcW w:w="1717" w:type="dxa"/>
            <w:tcBorders>
              <w:top w:val="nil"/>
              <w:left w:val="nil"/>
              <w:bottom w:val="nil"/>
              <w:right w:val="nil"/>
            </w:tcBorders>
            <w:shd w:val="clear" w:color="auto" w:fill="F2F2F2" w:themeFill="background1" w:themeFillShade="F2"/>
            <w:noWrap/>
            <w:vAlign w:val="bottom"/>
            <w:hideMark/>
          </w:tcPr>
          <w:p w:rsidRPr="00945337" w:rsidR="0049044F" w:rsidP="008C502E" w:rsidRDefault="0049044F">
            <w:pPr>
              <w:overflowPunct/>
              <w:autoSpaceDE/>
              <w:autoSpaceDN/>
              <w:adjustRightInd/>
              <w:jc w:val="right"/>
              <w:textAlignment w:val="auto"/>
              <w:rPr>
                <w:rFonts w:ascii="Verdana" w:hAnsi="Verdana" w:cs="Calibri"/>
                <w:sz w:val="20"/>
                <w:lang w:eastAsia="en-GB"/>
              </w:rPr>
            </w:pPr>
            <w:r w:rsidRPr="00945337">
              <w:rPr>
                <w:rFonts w:ascii="Verdana" w:hAnsi="Verdana" w:cs="Calibri"/>
                <w:sz w:val="20"/>
                <w:lang w:eastAsia="en-GB"/>
              </w:rPr>
              <w:t xml:space="preserve">  </w:t>
            </w:r>
            <w:r w:rsidRPr="00945337" w:rsidR="008C502E">
              <w:rPr>
                <w:rFonts w:ascii="Verdana" w:hAnsi="Verdana" w:cs="Calibri"/>
                <w:sz w:val="20"/>
                <w:lang w:eastAsia="en-GB"/>
              </w:rPr>
              <w:t>359</w:t>
            </w:r>
            <w:r w:rsidRPr="00945337" w:rsidR="005C5850">
              <w:rPr>
                <w:rFonts w:ascii="Verdana" w:hAnsi="Verdana" w:cs="Calibri"/>
                <w:sz w:val="20"/>
                <w:lang w:eastAsia="en-GB"/>
              </w:rPr>
              <w:t>,000</w:t>
            </w:r>
            <w:r w:rsidRPr="00945337">
              <w:rPr>
                <w:rFonts w:ascii="Verdana" w:hAnsi="Verdana" w:cs="Calibri"/>
                <w:sz w:val="20"/>
                <w:lang w:eastAsia="en-GB"/>
              </w:rPr>
              <w:t xml:space="preserve"> </w:t>
            </w:r>
          </w:p>
        </w:tc>
        <w:tc>
          <w:tcPr>
            <w:tcW w:w="410" w:type="dxa"/>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left"/>
              <w:textAlignment w:val="auto"/>
              <w:rPr>
                <w:rFonts w:ascii="Verdana" w:hAnsi="Verdana" w:cs="Calibri"/>
                <w:sz w:val="20"/>
                <w:lang w:eastAsia="en-GB"/>
              </w:rPr>
            </w:pPr>
            <w:r w:rsidRPr="00435435">
              <w:rPr>
                <w:rFonts w:ascii="Verdana" w:hAnsi="Verdana" w:cs="Calibri"/>
                <w:sz w:val="20"/>
                <w:lang w:eastAsia="en-GB"/>
              </w:rPr>
              <w:t> </w:t>
            </w:r>
          </w:p>
        </w:tc>
      </w:tr>
      <w:tr w:rsidRPr="00435435" w:rsidR="0049044F" w:rsidTr="00BC2CBF">
        <w:trPr>
          <w:trHeight w:val="315"/>
        </w:trPr>
        <w:tc>
          <w:tcPr>
            <w:tcW w:w="0" w:type="auto"/>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left"/>
              <w:textAlignment w:val="auto"/>
              <w:rPr>
                <w:rFonts w:ascii="Verdana" w:hAnsi="Verdana" w:cs="Calibri"/>
                <w:sz w:val="20"/>
                <w:lang w:eastAsia="en-GB"/>
              </w:rPr>
            </w:pPr>
            <w:r w:rsidRPr="00435435">
              <w:rPr>
                <w:rFonts w:ascii="Verdana" w:hAnsi="Verdana" w:cs="Calibri"/>
                <w:sz w:val="20"/>
                <w:lang w:eastAsia="en-GB"/>
              </w:rPr>
              <w:t> </w:t>
            </w:r>
          </w:p>
        </w:tc>
        <w:tc>
          <w:tcPr>
            <w:tcW w:w="7099" w:type="dxa"/>
            <w:tcBorders>
              <w:top w:val="nil"/>
              <w:left w:val="nil"/>
              <w:bottom w:val="nil"/>
              <w:right w:val="nil"/>
            </w:tcBorders>
            <w:shd w:val="clear" w:color="auto" w:fill="F2F2F2" w:themeFill="background1" w:themeFillShade="F2"/>
            <w:noWrap/>
            <w:vAlign w:val="bottom"/>
            <w:hideMark/>
          </w:tcPr>
          <w:p w:rsidRPr="00435435" w:rsidR="0049044F" w:rsidP="0049044F" w:rsidRDefault="002F4D06">
            <w:pPr>
              <w:overflowPunct/>
              <w:autoSpaceDE/>
              <w:autoSpaceDN/>
              <w:adjustRightInd/>
              <w:jc w:val="left"/>
              <w:textAlignment w:val="auto"/>
              <w:rPr>
                <w:rFonts w:ascii="Verdana" w:hAnsi="Verdana" w:cs="Calibri"/>
                <w:color w:val="000000"/>
                <w:sz w:val="20"/>
                <w:lang w:eastAsia="en-GB"/>
              </w:rPr>
            </w:pPr>
            <w:r w:rsidRPr="00435435">
              <w:rPr>
                <w:rFonts w:ascii="Verdana" w:hAnsi="Verdana" w:cs="Calibri"/>
                <w:color w:val="000000"/>
                <w:sz w:val="20"/>
                <w:lang w:eastAsia="en-GB"/>
              </w:rPr>
              <w:t>Reduction</w:t>
            </w:r>
            <w:r w:rsidRPr="00435435" w:rsidR="0049044F">
              <w:rPr>
                <w:rFonts w:ascii="Verdana" w:hAnsi="Verdana" w:cs="Calibri"/>
                <w:color w:val="000000"/>
                <w:sz w:val="20"/>
                <w:lang w:eastAsia="en-GB"/>
              </w:rPr>
              <w:t xml:space="preserve"> in reimbursement right</w:t>
            </w:r>
          </w:p>
        </w:tc>
        <w:tc>
          <w:tcPr>
            <w:tcW w:w="1717" w:type="dxa"/>
            <w:tcBorders>
              <w:top w:val="nil"/>
              <w:left w:val="nil"/>
              <w:bottom w:val="nil"/>
              <w:right w:val="nil"/>
            </w:tcBorders>
            <w:shd w:val="clear" w:color="auto" w:fill="F2F2F2" w:themeFill="background1" w:themeFillShade="F2"/>
            <w:noWrap/>
            <w:vAlign w:val="bottom"/>
            <w:hideMark/>
          </w:tcPr>
          <w:p w:rsidRPr="00945337" w:rsidR="0049044F" w:rsidP="008C502E" w:rsidRDefault="00FB58E7">
            <w:pPr>
              <w:overflowPunct/>
              <w:autoSpaceDE/>
              <w:autoSpaceDN/>
              <w:adjustRightInd/>
              <w:jc w:val="right"/>
              <w:textAlignment w:val="auto"/>
              <w:rPr>
                <w:rFonts w:ascii="Verdana" w:hAnsi="Verdana" w:cs="Calibri"/>
                <w:sz w:val="20"/>
                <w:lang w:eastAsia="en-GB"/>
              </w:rPr>
            </w:pPr>
            <w:r w:rsidRPr="00945337">
              <w:rPr>
                <w:rFonts w:ascii="Verdana" w:hAnsi="Verdana" w:cs="Calibri"/>
                <w:sz w:val="20"/>
                <w:lang w:eastAsia="en-GB"/>
              </w:rPr>
              <w:t>(</w:t>
            </w:r>
            <w:r w:rsidRPr="00945337" w:rsidR="008C502E">
              <w:rPr>
                <w:rFonts w:ascii="Verdana" w:hAnsi="Verdana" w:cs="Calibri"/>
                <w:sz w:val="20"/>
                <w:lang w:eastAsia="en-GB"/>
              </w:rPr>
              <w:t>359</w:t>
            </w:r>
            <w:r w:rsidRPr="00945337" w:rsidR="00D526C1">
              <w:rPr>
                <w:rFonts w:ascii="Verdana" w:hAnsi="Verdana" w:cs="Calibri"/>
                <w:sz w:val="20"/>
                <w:lang w:eastAsia="en-GB"/>
              </w:rPr>
              <w:t>,000</w:t>
            </w:r>
            <w:r w:rsidRPr="00945337">
              <w:rPr>
                <w:rFonts w:ascii="Verdana" w:hAnsi="Verdana" w:cs="Calibri"/>
                <w:sz w:val="20"/>
                <w:lang w:eastAsia="en-GB"/>
              </w:rPr>
              <w:t>)</w:t>
            </w:r>
            <w:r w:rsidRPr="00945337" w:rsidR="0049044F">
              <w:rPr>
                <w:rFonts w:ascii="Verdana" w:hAnsi="Verdana" w:cs="Calibri"/>
                <w:sz w:val="20"/>
                <w:lang w:eastAsia="en-GB"/>
              </w:rPr>
              <w:t xml:space="preserve"> </w:t>
            </w:r>
          </w:p>
        </w:tc>
        <w:tc>
          <w:tcPr>
            <w:tcW w:w="410" w:type="dxa"/>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left"/>
              <w:textAlignment w:val="auto"/>
              <w:rPr>
                <w:rFonts w:ascii="Verdana" w:hAnsi="Verdana" w:cs="Calibri"/>
                <w:sz w:val="20"/>
                <w:lang w:eastAsia="en-GB"/>
              </w:rPr>
            </w:pPr>
            <w:r w:rsidRPr="00435435">
              <w:rPr>
                <w:rFonts w:ascii="Verdana" w:hAnsi="Verdana" w:cs="Calibri"/>
                <w:sz w:val="20"/>
                <w:lang w:eastAsia="en-GB"/>
              </w:rPr>
              <w:t> </w:t>
            </w:r>
          </w:p>
        </w:tc>
      </w:tr>
      <w:tr w:rsidRPr="00435435" w:rsidR="0049044F" w:rsidTr="00BC2CBF">
        <w:trPr>
          <w:trHeight w:val="330"/>
        </w:trPr>
        <w:tc>
          <w:tcPr>
            <w:tcW w:w="0" w:type="auto"/>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left"/>
              <w:textAlignment w:val="auto"/>
              <w:rPr>
                <w:rFonts w:ascii="Verdana" w:hAnsi="Verdana" w:cs="Calibri"/>
                <w:sz w:val="20"/>
                <w:lang w:eastAsia="en-GB"/>
              </w:rPr>
            </w:pPr>
            <w:r w:rsidRPr="00435435">
              <w:rPr>
                <w:rFonts w:ascii="Verdana" w:hAnsi="Verdana" w:cs="Calibri"/>
                <w:sz w:val="20"/>
                <w:lang w:eastAsia="en-GB"/>
              </w:rPr>
              <w:t> </w:t>
            </w:r>
          </w:p>
        </w:tc>
        <w:tc>
          <w:tcPr>
            <w:tcW w:w="7099" w:type="dxa"/>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left"/>
              <w:textAlignment w:val="auto"/>
              <w:rPr>
                <w:rFonts w:ascii="Verdana" w:hAnsi="Verdana" w:cs="Calibri"/>
                <w:sz w:val="20"/>
                <w:lang w:eastAsia="en-GB"/>
              </w:rPr>
            </w:pPr>
            <w:r w:rsidRPr="00435435">
              <w:rPr>
                <w:rFonts w:ascii="Verdana" w:hAnsi="Verdana" w:cs="Calibri"/>
                <w:sz w:val="20"/>
                <w:lang w:eastAsia="en-GB"/>
              </w:rPr>
              <w:t>Total compre</w:t>
            </w:r>
            <w:r w:rsidRPr="00435435" w:rsidR="002F4D06">
              <w:rPr>
                <w:rFonts w:ascii="Verdana" w:hAnsi="Verdana" w:cs="Calibri"/>
                <w:sz w:val="20"/>
                <w:lang w:eastAsia="en-GB"/>
              </w:rPr>
              <w:t>he</w:t>
            </w:r>
            <w:r w:rsidRPr="00435435" w:rsidR="000569A2">
              <w:rPr>
                <w:rFonts w:ascii="Verdana" w:hAnsi="Verdana" w:cs="Calibri"/>
                <w:sz w:val="20"/>
                <w:lang w:eastAsia="en-GB"/>
              </w:rPr>
              <w:t>nsive loss</w:t>
            </w:r>
            <w:r w:rsidRPr="00435435">
              <w:rPr>
                <w:rFonts w:ascii="Verdana" w:hAnsi="Verdana" w:cs="Calibri"/>
                <w:sz w:val="20"/>
                <w:lang w:eastAsia="en-GB"/>
              </w:rPr>
              <w:t xml:space="preserve"> for the year</w:t>
            </w:r>
          </w:p>
        </w:tc>
        <w:tc>
          <w:tcPr>
            <w:tcW w:w="1717" w:type="dxa"/>
            <w:tcBorders>
              <w:top w:val="single" w:color="auto" w:sz="4" w:space="0"/>
              <w:left w:val="nil"/>
              <w:bottom w:val="single" w:color="auto" w:sz="8" w:space="0"/>
              <w:right w:val="nil"/>
            </w:tcBorders>
            <w:shd w:val="clear" w:color="auto" w:fill="F2F2F2" w:themeFill="background1" w:themeFillShade="F2"/>
            <w:noWrap/>
            <w:vAlign w:val="bottom"/>
            <w:hideMark/>
          </w:tcPr>
          <w:p w:rsidRPr="00945337" w:rsidR="0049044F" w:rsidP="00B111FF" w:rsidRDefault="00FB58E7">
            <w:pPr>
              <w:overflowPunct/>
              <w:autoSpaceDE/>
              <w:autoSpaceDN/>
              <w:adjustRightInd/>
              <w:jc w:val="right"/>
              <w:textAlignment w:val="auto"/>
              <w:rPr>
                <w:rFonts w:ascii="Verdana" w:hAnsi="Verdana" w:cs="Calibri"/>
                <w:sz w:val="20"/>
                <w:lang w:eastAsia="en-GB"/>
              </w:rPr>
            </w:pPr>
            <w:r w:rsidRPr="00945337">
              <w:rPr>
                <w:rFonts w:ascii="Verdana" w:hAnsi="Verdana" w:cs="Calibri"/>
                <w:sz w:val="20"/>
                <w:lang w:eastAsia="en-GB"/>
              </w:rPr>
              <w:t>(</w:t>
            </w:r>
            <w:r w:rsidRPr="00945337" w:rsidR="009074EE">
              <w:rPr>
                <w:rFonts w:ascii="Verdana" w:hAnsi="Verdana" w:cs="Calibri"/>
                <w:sz w:val="20"/>
                <w:lang w:eastAsia="en-GB"/>
              </w:rPr>
              <w:t>7</w:t>
            </w:r>
            <w:r w:rsidRPr="00945337" w:rsidR="008C502E">
              <w:rPr>
                <w:rFonts w:ascii="Verdana" w:hAnsi="Verdana" w:cs="Calibri"/>
                <w:sz w:val="20"/>
                <w:lang w:eastAsia="en-GB"/>
              </w:rPr>
              <w:t>39</w:t>
            </w:r>
            <w:r w:rsidRPr="00945337" w:rsidR="005C5850">
              <w:rPr>
                <w:rFonts w:ascii="Verdana" w:hAnsi="Verdana" w:cs="Calibri"/>
                <w:sz w:val="20"/>
                <w:lang w:eastAsia="en-GB"/>
              </w:rPr>
              <w:t>,</w:t>
            </w:r>
            <w:r w:rsidRPr="00945337" w:rsidR="008C502E">
              <w:rPr>
                <w:rFonts w:ascii="Verdana" w:hAnsi="Verdana" w:cs="Calibri"/>
                <w:sz w:val="20"/>
                <w:lang w:eastAsia="en-GB"/>
              </w:rPr>
              <w:t>0</w:t>
            </w:r>
            <w:r w:rsidRPr="00945337" w:rsidR="00B111FF">
              <w:rPr>
                <w:rFonts w:ascii="Verdana" w:hAnsi="Verdana" w:cs="Calibri"/>
                <w:sz w:val="20"/>
                <w:lang w:eastAsia="en-GB"/>
              </w:rPr>
              <w:t>90</w:t>
            </w:r>
            <w:r w:rsidRPr="00945337">
              <w:rPr>
                <w:rFonts w:ascii="Verdana" w:hAnsi="Verdana" w:cs="Calibri"/>
                <w:sz w:val="20"/>
                <w:lang w:eastAsia="en-GB"/>
              </w:rPr>
              <w:t>)</w:t>
            </w:r>
            <w:r w:rsidRPr="00945337" w:rsidR="0049044F">
              <w:rPr>
                <w:rFonts w:ascii="Verdana" w:hAnsi="Verdana" w:cs="Calibri"/>
                <w:sz w:val="20"/>
                <w:lang w:eastAsia="en-GB"/>
              </w:rPr>
              <w:t xml:space="preserve"> </w:t>
            </w:r>
          </w:p>
        </w:tc>
        <w:tc>
          <w:tcPr>
            <w:tcW w:w="410" w:type="dxa"/>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left"/>
              <w:textAlignment w:val="auto"/>
              <w:rPr>
                <w:rFonts w:ascii="Verdana" w:hAnsi="Verdana" w:cs="Calibri"/>
                <w:sz w:val="20"/>
                <w:lang w:eastAsia="en-GB"/>
              </w:rPr>
            </w:pPr>
            <w:r w:rsidRPr="00435435">
              <w:rPr>
                <w:rFonts w:ascii="Verdana" w:hAnsi="Verdana" w:cs="Calibri"/>
                <w:sz w:val="20"/>
                <w:lang w:eastAsia="en-GB"/>
              </w:rPr>
              <w:t> </w:t>
            </w:r>
          </w:p>
        </w:tc>
      </w:tr>
      <w:tr w:rsidRPr="00435435" w:rsidR="0049044F" w:rsidTr="00BC2CBF">
        <w:trPr>
          <w:trHeight w:val="315"/>
        </w:trPr>
        <w:tc>
          <w:tcPr>
            <w:tcW w:w="0" w:type="auto"/>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left"/>
              <w:textAlignment w:val="auto"/>
              <w:rPr>
                <w:rFonts w:ascii="Verdana" w:hAnsi="Verdana" w:cs="Calibri"/>
                <w:sz w:val="20"/>
                <w:lang w:eastAsia="en-GB"/>
              </w:rPr>
            </w:pPr>
            <w:r w:rsidRPr="00435435">
              <w:rPr>
                <w:rFonts w:ascii="Verdana" w:hAnsi="Verdana" w:cs="Calibri"/>
                <w:sz w:val="20"/>
                <w:lang w:eastAsia="en-GB"/>
              </w:rPr>
              <w:t> </w:t>
            </w:r>
          </w:p>
        </w:tc>
        <w:tc>
          <w:tcPr>
            <w:tcW w:w="7099" w:type="dxa"/>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left"/>
              <w:textAlignment w:val="auto"/>
              <w:rPr>
                <w:rFonts w:ascii="Verdana" w:hAnsi="Verdana" w:cs="Calibri"/>
                <w:sz w:val="20"/>
                <w:lang w:eastAsia="en-GB"/>
              </w:rPr>
            </w:pPr>
            <w:r w:rsidRPr="00435435">
              <w:rPr>
                <w:rFonts w:ascii="Verdana" w:hAnsi="Verdana" w:cs="Calibri"/>
                <w:sz w:val="20"/>
                <w:lang w:eastAsia="en-GB"/>
              </w:rPr>
              <w:t> </w:t>
            </w:r>
          </w:p>
        </w:tc>
        <w:tc>
          <w:tcPr>
            <w:tcW w:w="1717" w:type="dxa"/>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right"/>
              <w:textAlignment w:val="auto"/>
              <w:rPr>
                <w:rFonts w:ascii="Verdana" w:hAnsi="Verdana" w:cs="Calibri"/>
                <w:sz w:val="20"/>
                <w:lang w:eastAsia="en-GB"/>
              </w:rPr>
            </w:pPr>
            <w:r w:rsidRPr="00435435">
              <w:rPr>
                <w:rFonts w:ascii="Verdana" w:hAnsi="Verdana" w:cs="Calibri"/>
                <w:sz w:val="20"/>
                <w:lang w:eastAsia="en-GB"/>
              </w:rPr>
              <w:t> </w:t>
            </w:r>
          </w:p>
        </w:tc>
        <w:tc>
          <w:tcPr>
            <w:tcW w:w="410" w:type="dxa"/>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left"/>
              <w:textAlignment w:val="auto"/>
              <w:rPr>
                <w:rFonts w:ascii="Verdana" w:hAnsi="Verdana" w:cs="Calibri"/>
                <w:sz w:val="20"/>
                <w:lang w:eastAsia="en-GB"/>
              </w:rPr>
            </w:pPr>
            <w:r w:rsidRPr="00435435">
              <w:rPr>
                <w:rFonts w:ascii="Verdana" w:hAnsi="Verdana" w:cs="Calibri"/>
                <w:sz w:val="20"/>
                <w:lang w:eastAsia="en-GB"/>
              </w:rPr>
              <w:t> </w:t>
            </w:r>
          </w:p>
        </w:tc>
      </w:tr>
      <w:tr w:rsidRPr="00435435" w:rsidR="0049044F" w:rsidTr="00BC2CBF">
        <w:trPr>
          <w:trHeight w:val="315"/>
        </w:trPr>
        <w:tc>
          <w:tcPr>
            <w:tcW w:w="0" w:type="auto"/>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left"/>
              <w:textAlignment w:val="auto"/>
              <w:rPr>
                <w:rFonts w:ascii="Verdana" w:hAnsi="Verdana" w:cs="Calibri"/>
                <w:sz w:val="20"/>
                <w:lang w:eastAsia="en-GB"/>
              </w:rPr>
            </w:pPr>
            <w:r w:rsidRPr="00435435">
              <w:rPr>
                <w:rFonts w:ascii="Verdana" w:hAnsi="Verdana" w:cs="Calibri"/>
                <w:sz w:val="20"/>
                <w:lang w:eastAsia="en-GB"/>
              </w:rPr>
              <w:t> </w:t>
            </w:r>
          </w:p>
        </w:tc>
        <w:tc>
          <w:tcPr>
            <w:tcW w:w="7099" w:type="dxa"/>
            <w:tcBorders>
              <w:top w:val="nil"/>
              <w:left w:val="nil"/>
              <w:bottom w:val="nil"/>
              <w:right w:val="nil"/>
            </w:tcBorders>
            <w:shd w:val="clear" w:color="auto" w:fill="F2F2F2" w:themeFill="background1" w:themeFillShade="F2"/>
            <w:noWrap/>
            <w:vAlign w:val="bottom"/>
            <w:hideMark/>
          </w:tcPr>
          <w:p w:rsidRPr="009B21B7" w:rsidR="0049044F" w:rsidP="00945337" w:rsidRDefault="0049044F">
            <w:pPr>
              <w:overflowPunct/>
              <w:autoSpaceDE/>
              <w:autoSpaceDN/>
              <w:adjustRightInd/>
              <w:jc w:val="left"/>
              <w:textAlignment w:val="auto"/>
              <w:rPr>
                <w:rFonts w:ascii="Verdana" w:hAnsi="Verdana" w:cs="Calibri"/>
                <w:b/>
                <w:bCs/>
                <w:sz w:val="20"/>
                <w:lang w:eastAsia="en-GB"/>
              </w:rPr>
            </w:pPr>
            <w:r w:rsidRPr="009B21B7">
              <w:rPr>
                <w:rFonts w:ascii="Verdana" w:hAnsi="Verdana" w:cs="Calibri"/>
                <w:b/>
                <w:bCs/>
                <w:sz w:val="20"/>
                <w:lang w:eastAsia="en-GB"/>
              </w:rPr>
              <w:t>Profit &amp; loss account at 31 March 201</w:t>
            </w:r>
            <w:r w:rsidRPr="009B21B7" w:rsidR="00945337">
              <w:rPr>
                <w:rFonts w:ascii="Verdana" w:hAnsi="Verdana" w:cs="Calibri"/>
                <w:b/>
                <w:bCs/>
                <w:sz w:val="20"/>
                <w:lang w:eastAsia="en-GB"/>
              </w:rPr>
              <w:t>8</w:t>
            </w:r>
          </w:p>
        </w:tc>
        <w:tc>
          <w:tcPr>
            <w:tcW w:w="1717" w:type="dxa"/>
            <w:tcBorders>
              <w:top w:val="nil"/>
              <w:left w:val="nil"/>
              <w:bottom w:val="nil"/>
              <w:right w:val="nil"/>
            </w:tcBorders>
            <w:shd w:val="clear" w:color="auto" w:fill="F2F2F2" w:themeFill="background1" w:themeFillShade="F2"/>
            <w:noWrap/>
            <w:vAlign w:val="bottom"/>
            <w:hideMark/>
          </w:tcPr>
          <w:p w:rsidRPr="009B21B7" w:rsidR="0049044F" w:rsidP="009B21B7" w:rsidRDefault="0049044F">
            <w:pPr>
              <w:overflowPunct/>
              <w:autoSpaceDE/>
              <w:autoSpaceDN/>
              <w:adjustRightInd/>
              <w:jc w:val="right"/>
              <w:textAlignment w:val="auto"/>
              <w:rPr>
                <w:rFonts w:ascii="Verdana" w:hAnsi="Verdana" w:cs="Calibri"/>
                <w:b/>
                <w:bCs/>
                <w:sz w:val="20"/>
                <w:lang w:eastAsia="en-GB"/>
              </w:rPr>
            </w:pPr>
            <w:r w:rsidRPr="009B21B7">
              <w:rPr>
                <w:rFonts w:ascii="Verdana" w:hAnsi="Verdana" w:cs="Calibri"/>
                <w:b/>
                <w:bCs/>
                <w:sz w:val="20"/>
                <w:lang w:eastAsia="en-GB"/>
              </w:rPr>
              <w:t xml:space="preserve"> </w:t>
            </w:r>
            <w:r w:rsidRPr="009B21B7" w:rsidR="00D526C1">
              <w:rPr>
                <w:rFonts w:ascii="Verdana" w:hAnsi="Verdana" w:cs="Calibri"/>
                <w:b/>
                <w:bCs/>
                <w:sz w:val="20"/>
                <w:lang w:eastAsia="en-GB"/>
              </w:rPr>
              <w:t>3,</w:t>
            </w:r>
            <w:r w:rsidRPr="009B21B7" w:rsidR="008C502E">
              <w:rPr>
                <w:rFonts w:ascii="Verdana" w:hAnsi="Verdana" w:cs="Calibri"/>
                <w:b/>
                <w:bCs/>
                <w:sz w:val="20"/>
                <w:lang w:eastAsia="en-GB"/>
              </w:rPr>
              <w:t>221</w:t>
            </w:r>
            <w:r w:rsidRPr="009B21B7" w:rsidR="009074EE">
              <w:rPr>
                <w:rFonts w:ascii="Verdana" w:hAnsi="Verdana" w:cs="Calibri"/>
                <w:b/>
                <w:bCs/>
                <w:sz w:val="20"/>
                <w:lang w:eastAsia="en-GB"/>
              </w:rPr>
              <w:t>,</w:t>
            </w:r>
            <w:r w:rsidRPr="009B21B7" w:rsidR="008C502E">
              <w:rPr>
                <w:rFonts w:ascii="Verdana" w:hAnsi="Verdana" w:cs="Calibri"/>
                <w:b/>
                <w:bCs/>
                <w:sz w:val="20"/>
                <w:lang w:eastAsia="en-GB"/>
              </w:rPr>
              <w:t>4</w:t>
            </w:r>
            <w:r w:rsidRPr="009B21B7" w:rsidR="00B111FF">
              <w:rPr>
                <w:rFonts w:ascii="Verdana" w:hAnsi="Verdana" w:cs="Calibri"/>
                <w:b/>
                <w:bCs/>
                <w:sz w:val="20"/>
                <w:lang w:eastAsia="en-GB"/>
              </w:rPr>
              <w:t>6</w:t>
            </w:r>
            <w:r w:rsidRPr="009B21B7" w:rsidR="009B21B7">
              <w:rPr>
                <w:rFonts w:ascii="Verdana" w:hAnsi="Verdana" w:cs="Calibri"/>
                <w:b/>
                <w:bCs/>
                <w:sz w:val="20"/>
                <w:lang w:eastAsia="en-GB"/>
              </w:rPr>
              <w:t xml:space="preserve">5  </w:t>
            </w:r>
            <w:r w:rsidRPr="009B21B7">
              <w:rPr>
                <w:rFonts w:ascii="Verdana" w:hAnsi="Verdana" w:cs="Calibri"/>
                <w:b/>
                <w:bCs/>
                <w:sz w:val="20"/>
                <w:lang w:eastAsia="en-GB"/>
              </w:rPr>
              <w:t xml:space="preserve"> </w:t>
            </w:r>
          </w:p>
        </w:tc>
        <w:tc>
          <w:tcPr>
            <w:tcW w:w="410" w:type="dxa"/>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left"/>
              <w:textAlignment w:val="auto"/>
              <w:rPr>
                <w:rFonts w:ascii="Verdana" w:hAnsi="Verdana" w:cs="Calibri"/>
                <w:sz w:val="20"/>
                <w:lang w:eastAsia="en-GB"/>
              </w:rPr>
            </w:pPr>
            <w:r w:rsidRPr="00435435">
              <w:rPr>
                <w:rFonts w:ascii="Verdana" w:hAnsi="Verdana" w:cs="Calibri"/>
                <w:sz w:val="20"/>
                <w:lang w:eastAsia="en-GB"/>
              </w:rPr>
              <w:t> </w:t>
            </w:r>
          </w:p>
        </w:tc>
      </w:tr>
      <w:tr w:rsidRPr="00435435" w:rsidR="0049044F" w:rsidTr="00BC2CBF">
        <w:trPr>
          <w:trHeight w:val="315"/>
        </w:trPr>
        <w:tc>
          <w:tcPr>
            <w:tcW w:w="0" w:type="auto"/>
            <w:tcBorders>
              <w:top w:val="nil"/>
              <w:left w:val="nil"/>
              <w:bottom w:val="nil"/>
              <w:right w:val="nil"/>
            </w:tcBorders>
            <w:shd w:val="clear" w:color="auto" w:fill="F2F2F2" w:themeFill="background1" w:themeFillShade="F2"/>
            <w:noWrap/>
            <w:vAlign w:val="bottom"/>
            <w:hideMark/>
          </w:tcPr>
          <w:p w:rsidRPr="00BC2CBF" w:rsidR="0049044F" w:rsidP="0049044F" w:rsidRDefault="0049044F">
            <w:pPr>
              <w:overflowPunct/>
              <w:autoSpaceDE/>
              <w:autoSpaceDN/>
              <w:adjustRightInd/>
              <w:jc w:val="left"/>
              <w:textAlignment w:val="auto"/>
              <w:rPr>
                <w:rFonts w:ascii="Verdana" w:hAnsi="Verdana" w:cs="Calibri"/>
                <w:color w:val="000000"/>
                <w:sz w:val="20"/>
                <w:lang w:eastAsia="en-GB"/>
              </w:rPr>
            </w:pPr>
            <w:r w:rsidRPr="00BC2CBF">
              <w:rPr>
                <w:rFonts w:ascii="Verdana" w:hAnsi="Verdana" w:cs="Calibri"/>
                <w:color w:val="000000"/>
                <w:sz w:val="20"/>
                <w:lang w:eastAsia="en-GB"/>
              </w:rPr>
              <w:t> </w:t>
            </w:r>
          </w:p>
        </w:tc>
        <w:tc>
          <w:tcPr>
            <w:tcW w:w="7099" w:type="dxa"/>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left"/>
              <w:textAlignment w:val="auto"/>
              <w:rPr>
                <w:rFonts w:ascii="Verdana" w:hAnsi="Verdana" w:cs="Calibri"/>
                <w:sz w:val="20"/>
                <w:lang w:eastAsia="en-GB"/>
              </w:rPr>
            </w:pPr>
            <w:r w:rsidRPr="00435435">
              <w:rPr>
                <w:rFonts w:ascii="Verdana" w:hAnsi="Verdana" w:cs="Calibri"/>
                <w:sz w:val="20"/>
                <w:lang w:eastAsia="en-GB"/>
              </w:rPr>
              <w:t> </w:t>
            </w:r>
          </w:p>
        </w:tc>
        <w:tc>
          <w:tcPr>
            <w:tcW w:w="1717" w:type="dxa"/>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right"/>
              <w:textAlignment w:val="auto"/>
              <w:rPr>
                <w:rFonts w:ascii="Verdana" w:hAnsi="Verdana" w:cs="Calibri"/>
                <w:sz w:val="20"/>
                <w:lang w:eastAsia="en-GB"/>
              </w:rPr>
            </w:pPr>
            <w:r w:rsidRPr="00435435">
              <w:rPr>
                <w:rFonts w:ascii="Verdana" w:hAnsi="Verdana" w:cs="Calibri"/>
                <w:sz w:val="20"/>
                <w:lang w:eastAsia="en-GB"/>
              </w:rPr>
              <w:t> </w:t>
            </w:r>
          </w:p>
        </w:tc>
        <w:tc>
          <w:tcPr>
            <w:tcW w:w="410" w:type="dxa"/>
            <w:tcBorders>
              <w:top w:val="nil"/>
              <w:left w:val="nil"/>
              <w:bottom w:val="nil"/>
              <w:right w:val="nil"/>
            </w:tcBorders>
            <w:shd w:val="clear" w:color="auto" w:fill="F2F2F2" w:themeFill="background1" w:themeFillShade="F2"/>
            <w:noWrap/>
            <w:vAlign w:val="bottom"/>
            <w:hideMark/>
          </w:tcPr>
          <w:p w:rsidRPr="00435435" w:rsidR="0049044F" w:rsidP="0049044F" w:rsidRDefault="0049044F">
            <w:pPr>
              <w:overflowPunct/>
              <w:autoSpaceDE/>
              <w:autoSpaceDN/>
              <w:adjustRightInd/>
              <w:jc w:val="left"/>
              <w:textAlignment w:val="auto"/>
              <w:rPr>
                <w:rFonts w:ascii="Verdana" w:hAnsi="Verdana" w:cs="Calibri"/>
                <w:sz w:val="20"/>
                <w:lang w:eastAsia="en-GB"/>
              </w:rPr>
            </w:pPr>
            <w:r w:rsidRPr="00435435">
              <w:rPr>
                <w:rFonts w:ascii="Verdana" w:hAnsi="Verdana" w:cs="Calibri"/>
                <w:sz w:val="20"/>
                <w:lang w:eastAsia="en-GB"/>
              </w:rPr>
              <w:t> </w:t>
            </w:r>
          </w:p>
        </w:tc>
      </w:tr>
    </w:tbl>
    <w:p w:rsidRPr="00435435" w:rsidR="0049044F" w:rsidP="007748CD" w:rsidRDefault="0049044F">
      <w:pPr>
        <w:jc w:val="left"/>
        <w:rPr>
          <w:rFonts w:ascii="Verdana" w:hAnsi="Verdana" w:cs="Arial"/>
          <w:sz w:val="20"/>
        </w:rPr>
      </w:pPr>
    </w:p>
    <w:p w:rsidRPr="008B41ED" w:rsidR="00AC5EEE" w:rsidP="00AC5EEE" w:rsidRDefault="003049C1">
      <w:pPr>
        <w:pStyle w:val="ACText"/>
        <w:spacing w:before="0"/>
        <w:ind w:right="595"/>
        <w:rPr>
          <w:rFonts w:ascii="Verdana" w:hAnsi="Verdana" w:cs="Arial"/>
          <w:highlight w:val="yellow"/>
        </w:rPr>
      </w:pPr>
      <w:r w:rsidRPr="003049C1">
        <w:rPr>
          <w:rFonts w:ascii="Verdana" w:hAnsi="Verdana" w:cs="Arial"/>
        </w:rPr>
        <w:t>The notes on pages 18 - 29 form part of these statements.</w:t>
      </w:r>
    </w:p>
    <w:p w:rsidRPr="00D5234D" w:rsidR="00312324" w:rsidRDefault="00312324">
      <w:pPr>
        <w:pStyle w:val="ACSectionTOCHeading"/>
        <w:pageBreakBefore/>
        <w:rPr>
          <w:rFonts w:ascii="Verdana" w:hAnsi="Verdana" w:cs="Arial"/>
        </w:rPr>
      </w:pPr>
      <w:bookmarkStart w:name="_Toc360004351" w:id="74"/>
      <w:bookmarkStart w:name="_Toc372451435" w:id="75"/>
      <w:bookmarkStart w:name="_Toc372714806" w:id="76"/>
      <w:bookmarkStart w:name="_Toc373827144" w:id="77"/>
      <w:bookmarkStart w:name="_Toc374516820" w:id="78"/>
      <w:bookmarkStart w:name="_Toc379084162" w:id="79"/>
      <w:bookmarkStart w:name="_Toc379084668" w:id="80"/>
      <w:bookmarkStart w:name="_Toc379288021" w:id="81"/>
      <w:bookmarkStart w:name="_Toc379340745" w:id="82"/>
      <w:bookmarkStart w:name="_Toc379431141" w:id="83"/>
      <w:bookmarkStart w:name="_Toc386095962" w:id="84"/>
      <w:bookmarkStart w:name="_Toc386274269" w:id="85"/>
      <w:bookmarkStart w:name="_Toc457718241" w:id="86"/>
      <w:bookmarkStart w:name="_Toc533480465" w:id="87"/>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D5234D">
        <w:rPr>
          <w:rFonts w:ascii="Verdana" w:hAnsi="Verdana" w:cs="Arial"/>
        </w:rPr>
        <w:lastRenderedPageBreak/>
        <w:t>Notes</w:t>
      </w:r>
      <w:bookmarkEnd w:id="74"/>
      <w:bookmarkEnd w:id="75"/>
      <w:bookmarkEnd w:id="76"/>
      <w:bookmarkEnd w:id="77"/>
      <w:bookmarkEnd w:id="78"/>
      <w:bookmarkEnd w:id="79"/>
      <w:bookmarkEnd w:id="80"/>
      <w:bookmarkEnd w:id="81"/>
      <w:bookmarkEnd w:id="82"/>
      <w:bookmarkEnd w:id="83"/>
      <w:bookmarkEnd w:id="84"/>
      <w:bookmarkEnd w:id="85"/>
      <w:bookmarkEnd w:id="86"/>
      <w:bookmarkEnd w:id="87"/>
    </w:p>
    <w:p w:rsidRPr="00D5234D" w:rsidR="00312324" w:rsidRDefault="00312324">
      <w:pPr>
        <w:pStyle w:val="ACSub-head"/>
        <w:rPr>
          <w:rFonts w:ascii="Verdana" w:hAnsi="Verdana" w:cs="Arial"/>
          <w:i w:val="0"/>
        </w:rPr>
      </w:pPr>
      <w:r w:rsidRPr="00D5234D">
        <w:rPr>
          <w:rFonts w:ascii="Verdana" w:hAnsi="Verdana" w:cs="Arial"/>
          <w:i w:val="0"/>
        </w:rPr>
        <w:t>(</w:t>
      </w:r>
      <w:r w:rsidRPr="00D5234D" w:rsidR="0039058A">
        <w:rPr>
          <w:rFonts w:ascii="Verdana" w:hAnsi="Verdana" w:cs="Arial"/>
          <w:i w:val="0"/>
        </w:rPr>
        <w:t>f</w:t>
      </w:r>
      <w:r w:rsidRPr="00D5234D" w:rsidR="008300C0">
        <w:rPr>
          <w:rFonts w:ascii="Verdana" w:hAnsi="Verdana" w:cs="Arial"/>
          <w:i w:val="0"/>
        </w:rPr>
        <w:t>orming</w:t>
      </w:r>
      <w:r w:rsidRPr="00D5234D">
        <w:rPr>
          <w:rFonts w:ascii="Verdana" w:hAnsi="Verdana" w:cs="Arial"/>
          <w:i w:val="0"/>
        </w:rPr>
        <w:t xml:space="preserve"> part of the financial statements)</w:t>
      </w:r>
    </w:p>
    <w:p w:rsidRPr="00D5234D" w:rsidR="00312324" w:rsidP="00BE19A5" w:rsidRDefault="000B0706">
      <w:pPr>
        <w:pStyle w:val="Heading1"/>
        <w:numPr>
          <w:ilvl w:val="0"/>
          <w:numId w:val="0"/>
        </w:numPr>
        <w:rPr>
          <w:rFonts w:ascii="Verdana" w:hAnsi="Verdana" w:cs="Arial"/>
        </w:rPr>
      </w:pPr>
      <w:r w:rsidRPr="00D5234D">
        <w:rPr>
          <w:rFonts w:ascii="Verdana" w:hAnsi="Verdana" w:cs="Arial"/>
        </w:rPr>
        <w:t xml:space="preserve">1. </w:t>
      </w:r>
      <w:r w:rsidRPr="00D5234D" w:rsidR="00312324">
        <w:rPr>
          <w:rFonts w:ascii="Verdana" w:hAnsi="Verdana" w:cs="Arial"/>
        </w:rPr>
        <w:t>Accounting policies</w:t>
      </w:r>
    </w:p>
    <w:p w:rsidRPr="00D5234D" w:rsidR="00164D51" w:rsidRDefault="00312324">
      <w:pPr>
        <w:pStyle w:val="ACText"/>
        <w:rPr>
          <w:rFonts w:ascii="Verdana" w:hAnsi="Verdana" w:cs="Arial"/>
        </w:rPr>
      </w:pPr>
      <w:r w:rsidRPr="00D5234D">
        <w:rPr>
          <w:rFonts w:ascii="Verdana" w:hAnsi="Verdana" w:cs="Arial"/>
        </w:rPr>
        <w:t>The following accounting policies have been applied in dealing with items which are consider</w:t>
      </w:r>
      <w:r w:rsidRPr="00D5234D" w:rsidR="006050E5">
        <w:rPr>
          <w:rFonts w:ascii="Verdana" w:hAnsi="Verdana" w:cs="Arial"/>
        </w:rPr>
        <w:t>ed material in relation to the C</w:t>
      </w:r>
      <w:r w:rsidRPr="00D5234D">
        <w:rPr>
          <w:rFonts w:ascii="Verdana" w:hAnsi="Verdana" w:cs="Arial"/>
        </w:rPr>
        <w:t xml:space="preserve">ompany’s financial statements. </w:t>
      </w:r>
    </w:p>
    <w:p w:rsidRPr="00D5234D" w:rsidR="00312324" w:rsidRDefault="00312324">
      <w:pPr>
        <w:pStyle w:val="ACText"/>
        <w:rPr>
          <w:rFonts w:ascii="Verdana" w:hAnsi="Verdana" w:cs="Arial"/>
          <w:b/>
        </w:rPr>
      </w:pPr>
      <w:r w:rsidRPr="00D5234D">
        <w:rPr>
          <w:rFonts w:ascii="Verdana" w:hAnsi="Verdana" w:cs="Arial"/>
          <w:b/>
        </w:rPr>
        <w:t>Status of Company &amp; Composition of the Board</w:t>
      </w:r>
    </w:p>
    <w:p w:rsidRPr="00D5234D" w:rsidR="00312324" w:rsidRDefault="00312324">
      <w:pPr>
        <w:pStyle w:val="ACText"/>
        <w:rPr>
          <w:rFonts w:ascii="Verdana" w:hAnsi="Verdana" w:cs="Arial"/>
        </w:rPr>
      </w:pPr>
      <w:r w:rsidRPr="00D5234D">
        <w:rPr>
          <w:rFonts w:ascii="Verdana" w:hAnsi="Verdana" w:cs="Arial"/>
        </w:rPr>
        <w:t xml:space="preserve">The Company is limited by guarantee and does not have any share capital. </w:t>
      </w:r>
      <w:r w:rsidRPr="00D5234D" w:rsidR="000A2ADD">
        <w:rPr>
          <w:rFonts w:ascii="Verdana" w:hAnsi="Verdana" w:cs="Arial"/>
        </w:rPr>
        <w:t xml:space="preserve">The London Borough of </w:t>
      </w:r>
      <w:r w:rsidRPr="00D5234D" w:rsidR="00322C0E">
        <w:rPr>
          <w:rFonts w:ascii="Verdana" w:hAnsi="Verdana" w:cs="Arial"/>
        </w:rPr>
        <w:t>Tower Hamlets</w:t>
      </w:r>
      <w:r w:rsidRPr="00D5234D" w:rsidR="00E851AB">
        <w:rPr>
          <w:rFonts w:ascii="Verdana" w:hAnsi="Verdana" w:cs="Arial"/>
        </w:rPr>
        <w:t>,</w:t>
      </w:r>
      <w:r w:rsidRPr="00D5234D">
        <w:rPr>
          <w:rFonts w:ascii="Verdana" w:hAnsi="Verdana" w:cs="Arial"/>
        </w:rPr>
        <w:t xml:space="preserve"> th</w:t>
      </w:r>
      <w:r w:rsidRPr="00D5234D" w:rsidR="00F07BF5">
        <w:rPr>
          <w:rFonts w:ascii="Verdana" w:hAnsi="Verdana" w:cs="Arial"/>
        </w:rPr>
        <w:t>e ultimate parent organisation, u</w:t>
      </w:r>
      <w:r w:rsidRPr="00D5234D" w:rsidR="00E851AB">
        <w:rPr>
          <w:rFonts w:ascii="Verdana" w:hAnsi="Verdana" w:cs="Arial"/>
        </w:rPr>
        <w:t>ndertakes</w:t>
      </w:r>
      <w:r w:rsidRPr="00D5234D">
        <w:rPr>
          <w:rFonts w:ascii="Verdana" w:hAnsi="Verdana" w:cs="Arial"/>
        </w:rPr>
        <w:t xml:space="preserve"> in the event of the Company being wound up, to contribute such amount as may be required for the payment of the debts and liabilities of the Company providing this amount does not exceed one pound. After the satisfaction of all the debts and liabilities the remaining assets will be transferred to the Council’s Housing Revenue Account (as defined in the 1989 Act).</w:t>
      </w:r>
    </w:p>
    <w:p w:rsidRPr="00D5234D" w:rsidR="00312324" w:rsidRDefault="00312324">
      <w:pPr>
        <w:pStyle w:val="ACText"/>
        <w:rPr>
          <w:rFonts w:ascii="Verdana" w:hAnsi="Verdana" w:cs="Arial"/>
        </w:rPr>
      </w:pPr>
      <w:r w:rsidRPr="00D5234D">
        <w:rPr>
          <w:rFonts w:ascii="Verdana" w:hAnsi="Verdana" w:cs="Arial"/>
        </w:rPr>
        <w:t xml:space="preserve">A Board of non-executive directors </w:t>
      </w:r>
      <w:r w:rsidRPr="00D5234D" w:rsidR="002C7564">
        <w:rPr>
          <w:rFonts w:ascii="Verdana" w:hAnsi="Verdana" w:cs="Arial"/>
        </w:rPr>
        <w:t>provides strategic management of</w:t>
      </w:r>
      <w:r w:rsidRPr="00D5234D">
        <w:rPr>
          <w:rFonts w:ascii="Verdana" w:hAnsi="Verdana" w:cs="Arial"/>
        </w:rPr>
        <w:t xml:space="preserve"> the Company and is</w:t>
      </w:r>
      <w:r w:rsidRPr="00D5234D" w:rsidR="002C7564">
        <w:rPr>
          <w:rFonts w:ascii="Verdana" w:hAnsi="Verdana" w:cs="Arial"/>
        </w:rPr>
        <w:t xml:space="preserve"> </w:t>
      </w:r>
      <w:r w:rsidRPr="00D5234D" w:rsidR="007B239E">
        <w:rPr>
          <w:rFonts w:ascii="Verdana" w:hAnsi="Verdana" w:cs="Arial"/>
        </w:rPr>
        <w:t xml:space="preserve">intended to be </w:t>
      </w:r>
      <w:r w:rsidRPr="00D5234D" w:rsidR="002C7564">
        <w:rPr>
          <w:rFonts w:ascii="Verdana" w:hAnsi="Verdana" w:cs="Arial"/>
        </w:rPr>
        <w:t>comprised as follows</w:t>
      </w:r>
      <w:r w:rsidRPr="00D5234D">
        <w:rPr>
          <w:rFonts w:ascii="Verdana" w:hAnsi="Verdana" w:cs="Arial"/>
        </w:rPr>
        <w:t>:</w:t>
      </w:r>
    </w:p>
    <w:p w:rsidRPr="00D5234D" w:rsidR="00312324" w:rsidP="006047D8" w:rsidRDefault="008B77F1">
      <w:pPr>
        <w:pStyle w:val="ACText"/>
        <w:numPr>
          <w:ilvl w:val="0"/>
          <w:numId w:val="13"/>
        </w:numPr>
        <w:rPr>
          <w:rFonts w:ascii="Verdana" w:hAnsi="Verdana" w:cs="Arial"/>
        </w:rPr>
      </w:pPr>
      <w:r w:rsidRPr="00D5234D">
        <w:rPr>
          <w:rFonts w:ascii="Verdana" w:hAnsi="Verdana" w:cs="Arial"/>
        </w:rPr>
        <w:t>4</w:t>
      </w:r>
      <w:r w:rsidRPr="00D5234D" w:rsidR="00312324">
        <w:rPr>
          <w:rFonts w:ascii="Verdana" w:hAnsi="Verdana" w:cs="Arial"/>
        </w:rPr>
        <w:t xml:space="preserve"> </w:t>
      </w:r>
      <w:r w:rsidRPr="00D5234D" w:rsidR="003E0AF9">
        <w:rPr>
          <w:rFonts w:ascii="Verdana" w:hAnsi="Verdana" w:cs="Arial"/>
        </w:rPr>
        <w:t>Borough</w:t>
      </w:r>
      <w:r w:rsidRPr="00D5234D" w:rsidR="00312324">
        <w:rPr>
          <w:rFonts w:ascii="Verdana" w:hAnsi="Verdana" w:cs="Arial"/>
        </w:rPr>
        <w:t xml:space="preserve"> Council nominees;</w:t>
      </w:r>
    </w:p>
    <w:p w:rsidRPr="00D5234D" w:rsidR="00312324" w:rsidP="006047D8" w:rsidRDefault="00733A86">
      <w:pPr>
        <w:pStyle w:val="ACText"/>
        <w:numPr>
          <w:ilvl w:val="0"/>
          <w:numId w:val="13"/>
        </w:numPr>
        <w:rPr>
          <w:rFonts w:ascii="Verdana" w:hAnsi="Verdana" w:cs="Arial"/>
        </w:rPr>
      </w:pPr>
      <w:r>
        <w:rPr>
          <w:rFonts w:ascii="Verdana" w:hAnsi="Verdana" w:cs="Arial"/>
        </w:rPr>
        <w:t>3</w:t>
      </w:r>
      <w:r w:rsidRPr="00D5234D" w:rsidR="002C7564">
        <w:rPr>
          <w:rFonts w:ascii="Verdana" w:hAnsi="Verdana" w:cs="Arial"/>
        </w:rPr>
        <w:t xml:space="preserve"> </w:t>
      </w:r>
      <w:r w:rsidRPr="00D5234D" w:rsidR="007B239E">
        <w:rPr>
          <w:rFonts w:ascii="Verdana" w:hAnsi="Verdana" w:cs="Arial"/>
        </w:rPr>
        <w:t xml:space="preserve">appointed </w:t>
      </w:r>
      <w:r w:rsidRPr="00D5234D" w:rsidR="00312324">
        <w:rPr>
          <w:rFonts w:ascii="Verdana" w:hAnsi="Verdana" w:cs="Arial"/>
        </w:rPr>
        <w:t>tenants and</w:t>
      </w:r>
      <w:r w:rsidRPr="00D5234D" w:rsidR="002C7564">
        <w:rPr>
          <w:rFonts w:ascii="Verdana" w:hAnsi="Verdana" w:cs="Arial"/>
        </w:rPr>
        <w:t xml:space="preserve"> leaseholders</w:t>
      </w:r>
      <w:r w:rsidRPr="00D5234D" w:rsidR="004714FE">
        <w:rPr>
          <w:rFonts w:ascii="Verdana" w:hAnsi="Verdana" w:cs="Arial"/>
        </w:rPr>
        <w:t>;</w:t>
      </w:r>
      <w:r w:rsidRPr="00D5234D" w:rsidR="006A03CA">
        <w:rPr>
          <w:rFonts w:ascii="Verdana" w:hAnsi="Verdana" w:cs="Arial"/>
        </w:rPr>
        <w:t xml:space="preserve"> </w:t>
      </w:r>
    </w:p>
    <w:p w:rsidRPr="00D5234D" w:rsidR="00312324" w:rsidP="006047D8" w:rsidRDefault="009F22A4">
      <w:pPr>
        <w:pStyle w:val="ACText"/>
        <w:numPr>
          <w:ilvl w:val="0"/>
          <w:numId w:val="13"/>
        </w:numPr>
        <w:rPr>
          <w:rFonts w:ascii="Verdana" w:hAnsi="Verdana" w:cs="Arial"/>
        </w:rPr>
      </w:pPr>
      <w:r w:rsidRPr="00D5234D">
        <w:rPr>
          <w:rFonts w:ascii="Verdana" w:hAnsi="Verdana" w:cs="Arial"/>
        </w:rPr>
        <w:t>4</w:t>
      </w:r>
      <w:r w:rsidRPr="00D5234D" w:rsidR="00312324">
        <w:rPr>
          <w:rFonts w:ascii="Verdana" w:hAnsi="Verdana" w:cs="Arial"/>
        </w:rPr>
        <w:t xml:space="preserve"> independent members appointed from the local community.</w:t>
      </w:r>
    </w:p>
    <w:p w:rsidRPr="00D5234D" w:rsidR="00312324" w:rsidRDefault="00312324">
      <w:pPr>
        <w:pStyle w:val="ACText"/>
        <w:rPr>
          <w:rFonts w:ascii="Verdana" w:hAnsi="Verdana" w:cs="Arial"/>
        </w:rPr>
      </w:pPr>
      <w:r w:rsidRPr="00D5234D">
        <w:rPr>
          <w:rFonts w:ascii="Verdana" w:hAnsi="Verdana" w:cs="Arial"/>
        </w:rPr>
        <w:t xml:space="preserve">The composition of the Board reflects the range and mix of skills and experience required for the effective management of the Company. The Board is supported by a </w:t>
      </w:r>
      <w:r w:rsidRPr="00D5234D" w:rsidR="00384FBE">
        <w:rPr>
          <w:rFonts w:ascii="Verdana" w:hAnsi="Verdana" w:cs="Arial"/>
        </w:rPr>
        <w:t>strategic</w:t>
      </w:r>
      <w:r w:rsidRPr="00D5234D">
        <w:rPr>
          <w:rFonts w:ascii="Verdana" w:hAnsi="Verdana" w:cs="Arial"/>
        </w:rPr>
        <w:t xml:space="preserve"> management team which is responsible for the day to day running of the Company.</w:t>
      </w:r>
    </w:p>
    <w:p w:rsidRPr="00D5234D" w:rsidR="00312324" w:rsidRDefault="00312324">
      <w:pPr>
        <w:pStyle w:val="ACText"/>
        <w:rPr>
          <w:rFonts w:ascii="Verdana" w:hAnsi="Verdana" w:cs="Arial"/>
          <w:b/>
        </w:rPr>
      </w:pPr>
      <w:r w:rsidRPr="00D5234D">
        <w:rPr>
          <w:rFonts w:ascii="Verdana" w:hAnsi="Verdana" w:cs="Arial"/>
          <w:b/>
        </w:rPr>
        <w:t>Basis of preparation</w:t>
      </w:r>
    </w:p>
    <w:p w:rsidRPr="00D5234D" w:rsidR="0039058A" w:rsidP="0039058A" w:rsidRDefault="0039058A">
      <w:pPr>
        <w:pStyle w:val="ACText"/>
        <w:rPr>
          <w:rFonts w:ascii="Verdana" w:hAnsi="Verdana" w:cs="Arial"/>
        </w:rPr>
      </w:pPr>
      <w:r w:rsidRPr="00D5234D">
        <w:rPr>
          <w:rFonts w:ascii="Verdana" w:hAnsi="Verdana" w:cs="Arial"/>
        </w:rPr>
        <w:t xml:space="preserve">These financial statements have been prepared in accordance with applicable United Kingdom accounting standards including </w:t>
      </w:r>
      <w:r w:rsidRPr="00D5234D">
        <w:rPr>
          <w:rFonts w:ascii="Verdana" w:hAnsi="Verdana" w:cs="Arial"/>
          <w:i/>
        </w:rPr>
        <w:t>FRS102 - The Financial Reporting Standard applicable in the United Kingdom and Republic of Ireland</w:t>
      </w:r>
      <w:r w:rsidRPr="00D5234D">
        <w:rPr>
          <w:rFonts w:ascii="Verdana" w:hAnsi="Verdana" w:cs="Arial"/>
        </w:rPr>
        <w:t xml:space="preserve"> and with the </w:t>
      </w:r>
      <w:r w:rsidRPr="00D5234D">
        <w:rPr>
          <w:rFonts w:ascii="Verdana" w:hAnsi="Verdana" w:cs="Arial"/>
          <w:i/>
        </w:rPr>
        <w:t>Companies Act 2006</w:t>
      </w:r>
      <w:r w:rsidRPr="00D5234D">
        <w:rPr>
          <w:rFonts w:ascii="Verdana" w:hAnsi="Verdana" w:cs="Arial"/>
        </w:rPr>
        <w:t>.</w:t>
      </w:r>
    </w:p>
    <w:p w:rsidRPr="00D5234D" w:rsidR="00E9305A" w:rsidP="00E9305A" w:rsidRDefault="00E9305A">
      <w:pPr>
        <w:pStyle w:val="ACText"/>
        <w:rPr>
          <w:rFonts w:ascii="Verdana" w:hAnsi="Verdana" w:cs="Arial"/>
        </w:rPr>
      </w:pPr>
      <w:r w:rsidRPr="00D5234D">
        <w:rPr>
          <w:rFonts w:ascii="Verdana" w:hAnsi="Verdana" w:cs="Arial"/>
        </w:rPr>
        <w:t xml:space="preserve">Tower Hamlets Homes Limited undertakes the management and maintenance of the housing stock of The London </w:t>
      </w:r>
      <w:r w:rsidRPr="00D5234D" w:rsidR="00322C0E">
        <w:rPr>
          <w:rFonts w:ascii="Verdana" w:hAnsi="Verdana" w:cs="Arial"/>
        </w:rPr>
        <w:t>Borough of Tower Hamlets</w:t>
      </w:r>
      <w:r w:rsidRPr="00D5234D">
        <w:rPr>
          <w:rFonts w:ascii="Verdana" w:hAnsi="Verdana" w:cs="Arial"/>
        </w:rPr>
        <w:t xml:space="preserve"> under a management agreement. Tower Hamlets Homes Limited is a wholly owned subsidiary of The London </w:t>
      </w:r>
      <w:r w:rsidRPr="00D5234D" w:rsidR="00322C0E">
        <w:rPr>
          <w:rFonts w:ascii="Verdana" w:hAnsi="Verdana" w:cs="Arial"/>
        </w:rPr>
        <w:t>Borough of Tower Hamlets</w:t>
      </w:r>
      <w:r w:rsidRPr="00D5234D">
        <w:rPr>
          <w:rFonts w:ascii="Verdana" w:hAnsi="Verdana" w:cs="Arial"/>
        </w:rPr>
        <w:t xml:space="preserve"> and in the event of Tower Hamlets Homes Limited winding up, all assets and liabilities will transfer to The London </w:t>
      </w:r>
      <w:r w:rsidRPr="00D5234D" w:rsidR="00322C0E">
        <w:rPr>
          <w:rFonts w:ascii="Verdana" w:hAnsi="Verdana" w:cs="Arial"/>
        </w:rPr>
        <w:t>Borough of Tower Hamlets</w:t>
      </w:r>
      <w:r w:rsidRPr="00D5234D">
        <w:rPr>
          <w:rFonts w:ascii="Verdana" w:hAnsi="Verdana" w:cs="Arial"/>
        </w:rPr>
        <w:t>.</w:t>
      </w:r>
    </w:p>
    <w:p w:rsidRPr="00D5234D" w:rsidR="00E9305A" w:rsidP="00E9305A" w:rsidRDefault="00E9305A">
      <w:pPr>
        <w:pStyle w:val="ACText"/>
        <w:rPr>
          <w:rFonts w:ascii="Verdana" w:hAnsi="Verdana" w:cs="Arial"/>
          <w:b/>
        </w:rPr>
      </w:pPr>
      <w:r w:rsidRPr="00D5234D">
        <w:rPr>
          <w:rFonts w:ascii="Verdana" w:hAnsi="Verdana" w:cs="Arial"/>
          <w:b/>
        </w:rPr>
        <w:t>Turnover</w:t>
      </w:r>
    </w:p>
    <w:p w:rsidRPr="00D5234D" w:rsidR="000D0A8C" w:rsidP="00E9305A" w:rsidRDefault="00E9305A">
      <w:pPr>
        <w:pStyle w:val="ACText"/>
        <w:rPr>
          <w:rFonts w:ascii="Verdana" w:hAnsi="Verdana" w:cs="Arial"/>
        </w:rPr>
      </w:pPr>
      <w:r w:rsidRPr="00D5234D">
        <w:rPr>
          <w:rFonts w:ascii="Verdana" w:hAnsi="Verdana" w:cs="Arial"/>
        </w:rPr>
        <w:t>Turnover represents the amounts derived from Management Fees in respect of the provision of goods and services to the London Borough of Tower Hamlets. It is stated net of value added tax.</w:t>
      </w:r>
      <w:r w:rsidRPr="00D5234D" w:rsidR="000D0A8C">
        <w:rPr>
          <w:rFonts w:ascii="Verdana" w:hAnsi="Verdana" w:cs="Arial"/>
        </w:rPr>
        <w:t xml:space="preserve"> </w:t>
      </w:r>
    </w:p>
    <w:p w:rsidRPr="00D5234D" w:rsidR="00E9305A" w:rsidP="00E9305A" w:rsidRDefault="005D2C88">
      <w:pPr>
        <w:pStyle w:val="ACText"/>
        <w:rPr>
          <w:rFonts w:ascii="Verdana" w:hAnsi="Verdana" w:cs="Arial"/>
        </w:rPr>
      </w:pPr>
      <w:r w:rsidRPr="00B111FF">
        <w:rPr>
          <w:rFonts w:ascii="Verdana" w:hAnsi="Verdana" w:cs="Arial"/>
        </w:rPr>
        <w:t>In 201</w:t>
      </w:r>
      <w:r w:rsidRPr="00B111FF" w:rsidR="00733A86">
        <w:rPr>
          <w:rFonts w:ascii="Verdana" w:hAnsi="Verdana" w:cs="Arial"/>
        </w:rPr>
        <w:t>7</w:t>
      </w:r>
      <w:r w:rsidRPr="00B111FF">
        <w:rPr>
          <w:rFonts w:ascii="Verdana" w:hAnsi="Verdana" w:cs="Arial"/>
        </w:rPr>
        <w:t>-1</w:t>
      </w:r>
      <w:r w:rsidRPr="00B111FF" w:rsidR="00733A86">
        <w:rPr>
          <w:rFonts w:ascii="Verdana" w:hAnsi="Verdana" w:cs="Arial"/>
        </w:rPr>
        <w:t>8</w:t>
      </w:r>
      <w:r w:rsidRPr="00B111FF" w:rsidR="000D0A8C">
        <w:rPr>
          <w:rFonts w:ascii="Verdana" w:hAnsi="Verdana" w:cs="Arial"/>
        </w:rPr>
        <w:t>, the Company received £</w:t>
      </w:r>
      <w:r w:rsidRPr="00B111FF" w:rsidR="00D5234D">
        <w:rPr>
          <w:rFonts w:ascii="Verdana" w:hAnsi="Verdana" w:cs="Arial"/>
        </w:rPr>
        <w:t>3</w:t>
      </w:r>
      <w:r w:rsidRPr="00B111FF" w:rsidR="00B111FF">
        <w:rPr>
          <w:rFonts w:ascii="Verdana" w:hAnsi="Verdana" w:cs="Arial"/>
        </w:rPr>
        <w:t>2</w:t>
      </w:r>
      <w:r w:rsidRPr="00B111FF" w:rsidR="002F4D06">
        <w:rPr>
          <w:rFonts w:ascii="Verdana" w:hAnsi="Verdana" w:cs="Arial"/>
        </w:rPr>
        <w:t>,</w:t>
      </w:r>
      <w:r w:rsidRPr="00B111FF" w:rsidR="00B111FF">
        <w:rPr>
          <w:rFonts w:ascii="Verdana" w:hAnsi="Verdana" w:cs="Arial"/>
        </w:rPr>
        <w:t>786</w:t>
      </w:r>
      <w:r w:rsidRPr="00B111FF" w:rsidR="002F4D06">
        <w:rPr>
          <w:rFonts w:ascii="Verdana" w:hAnsi="Verdana" w:cs="Arial"/>
        </w:rPr>
        <w:t>,</w:t>
      </w:r>
      <w:r w:rsidRPr="00B111FF" w:rsidR="00B111FF">
        <w:rPr>
          <w:rFonts w:ascii="Verdana" w:hAnsi="Verdana" w:cs="Arial"/>
        </w:rPr>
        <w:t>139</w:t>
      </w:r>
      <w:r w:rsidRPr="00B111FF" w:rsidR="00A0703C">
        <w:rPr>
          <w:rFonts w:ascii="Verdana" w:hAnsi="Verdana" w:cs="Arial"/>
        </w:rPr>
        <w:t xml:space="preserve"> </w:t>
      </w:r>
      <w:r w:rsidRPr="00B111FF" w:rsidR="000D0A8C">
        <w:rPr>
          <w:rFonts w:ascii="Verdana" w:hAnsi="Verdana" w:cs="Arial"/>
        </w:rPr>
        <w:t>in total, being £</w:t>
      </w:r>
      <w:r w:rsidRPr="00B111FF" w:rsidR="00B111FF">
        <w:rPr>
          <w:rFonts w:ascii="Verdana" w:hAnsi="Verdana" w:cs="Arial"/>
        </w:rPr>
        <w:t>30,199</w:t>
      </w:r>
      <w:r w:rsidRPr="00B111FF" w:rsidR="002F4D06">
        <w:rPr>
          <w:rFonts w:ascii="Verdana" w:hAnsi="Verdana" w:cs="Arial"/>
        </w:rPr>
        <w:t>,</w:t>
      </w:r>
      <w:r w:rsidRPr="00B111FF" w:rsidR="00B111FF">
        <w:rPr>
          <w:rFonts w:ascii="Verdana" w:hAnsi="Verdana" w:cs="Arial"/>
        </w:rPr>
        <w:t>139</w:t>
      </w:r>
      <w:r w:rsidRPr="00B111FF">
        <w:rPr>
          <w:rFonts w:ascii="Verdana" w:hAnsi="Verdana" w:cs="Arial"/>
        </w:rPr>
        <w:t xml:space="preserve"> in management fee and </w:t>
      </w:r>
      <w:r w:rsidRPr="00B111FF" w:rsidR="000D0A8C">
        <w:rPr>
          <w:rFonts w:ascii="Verdana" w:hAnsi="Verdana" w:cs="Arial"/>
        </w:rPr>
        <w:t>£</w:t>
      </w:r>
      <w:r w:rsidRPr="00B111FF" w:rsidR="002F4D06">
        <w:rPr>
          <w:rFonts w:ascii="Verdana" w:hAnsi="Verdana" w:cs="Arial"/>
        </w:rPr>
        <w:t>2,</w:t>
      </w:r>
      <w:r w:rsidRPr="00B111FF" w:rsidR="008114A6">
        <w:rPr>
          <w:rFonts w:ascii="Verdana" w:hAnsi="Verdana" w:cs="Arial"/>
        </w:rPr>
        <w:t>5</w:t>
      </w:r>
      <w:r w:rsidRPr="00B111FF" w:rsidR="00B111FF">
        <w:rPr>
          <w:rFonts w:ascii="Verdana" w:hAnsi="Verdana" w:cs="Arial"/>
        </w:rPr>
        <w:t>87</w:t>
      </w:r>
      <w:r w:rsidRPr="00B111FF">
        <w:rPr>
          <w:rFonts w:ascii="Verdana" w:hAnsi="Verdana" w:cs="Arial"/>
        </w:rPr>
        <w:t>,000</w:t>
      </w:r>
      <w:r w:rsidRPr="00D5234D" w:rsidR="000D0A8C">
        <w:rPr>
          <w:rFonts w:ascii="Verdana" w:hAnsi="Verdana" w:cs="Arial"/>
        </w:rPr>
        <w:t xml:space="preserve"> towards pension contributions.</w:t>
      </w:r>
      <w:r w:rsidRPr="00D5234D" w:rsidR="00E9305A">
        <w:rPr>
          <w:rFonts w:ascii="Verdana" w:hAnsi="Verdana" w:cs="Arial"/>
        </w:rPr>
        <w:t xml:space="preserve">                                                                                                                                  </w:t>
      </w:r>
    </w:p>
    <w:p w:rsidRPr="00D5234D" w:rsidR="00401755" w:rsidP="00401755" w:rsidRDefault="00401755">
      <w:pPr>
        <w:pStyle w:val="Heading1"/>
        <w:numPr>
          <w:ilvl w:val="0"/>
          <w:numId w:val="0"/>
        </w:numPr>
        <w:rPr>
          <w:rFonts w:ascii="Verdana" w:hAnsi="Verdana" w:cs="Arial"/>
          <w:sz w:val="26"/>
          <w:szCs w:val="26"/>
        </w:rPr>
      </w:pPr>
      <w:r w:rsidRPr="008B41ED">
        <w:rPr>
          <w:rFonts w:ascii="Verdana" w:hAnsi="Verdana" w:cs="Arial"/>
          <w:b w:val="0"/>
          <w:highlight w:val="yellow"/>
        </w:rPr>
        <w:br w:type="page"/>
      </w:r>
      <w:r w:rsidRPr="00D5234D">
        <w:rPr>
          <w:rFonts w:ascii="Verdana" w:hAnsi="Verdana" w:cs="Arial"/>
          <w:sz w:val="26"/>
          <w:szCs w:val="26"/>
        </w:rPr>
        <w:lastRenderedPageBreak/>
        <w:t>Notes - continued</w:t>
      </w:r>
    </w:p>
    <w:p w:rsidRPr="00D5234D" w:rsidR="00E9305A" w:rsidP="00E9305A" w:rsidRDefault="00E9305A">
      <w:pPr>
        <w:pStyle w:val="ACText"/>
        <w:rPr>
          <w:rFonts w:ascii="Verdana" w:hAnsi="Verdana" w:cs="Arial"/>
          <w:b/>
        </w:rPr>
      </w:pPr>
      <w:r w:rsidRPr="00D5234D">
        <w:rPr>
          <w:rFonts w:ascii="Verdana" w:hAnsi="Verdana" w:cs="Arial"/>
          <w:b/>
        </w:rPr>
        <w:t>Fixed assets and depreciation</w:t>
      </w:r>
    </w:p>
    <w:p w:rsidRPr="00D5234D" w:rsidR="00E9305A" w:rsidP="00E9305A" w:rsidRDefault="00E9305A">
      <w:pPr>
        <w:pStyle w:val="ACText"/>
        <w:rPr>
          <w:rFonts w:ascii="Verdana" w:hAnsi="Verdana" w:cs="Arial"/>
        </w:rPr>
      </w:pPr>
      <w:r w:rsidRPr="00D5234D">
        <w:rPr>
          <w:rFonts w:ascii="Verdana" w:hAnsi="Verdana" w:cs="Arial"/>
        </w:rPr>
        <w:t>Depreciation is provided to write off the cost, less the estimated residual value</w:t>
      </w:r>
      <w:r w:rsidRPr="00D5234D" w:rsidR="00ED4A15">
        <w:rPr>
          <w:rFonts w:ascii="Verdana" w:hAnsi="Verdana" w:cs="Arial"/>
        </w:rPr>
        <w:t>,</w:t>
      </w:r>
      <w:r w:rsidRPr="00D5234D">
        <w:rPr>
          <w:rFonts w:ascii="Verdana" w:hAnsi="Verdana" w:cs="Arial"/>
        </w:rPr>
        <w:t xml:space="preserve"> of tangible fixed assets by equal instalments over their estimated useful economic lives as follows:</w:t>
      </w:r>
    </w:p>
    <w:p w:rsidRPr="00D5234D" w:rsidR="00E9305A" w:rsidP="00E9305A" w:rsidRDefault="00E9305A">
      <w:pPr>
        <w:pStyle w:val="ACText"/>
        <w:tabs>
          <w:tab w:val="left" w:pos="2268"/>
          <w:tab w:val="left" w:pos="2835"/>
        </w:tabs>
        <w:spacing w:before="0"/>
        <w:rPr>
          <w:rFonts w:ascii="Verdana" w:hAnsi="Verdana" w:cs="Arial"/>
        </w:rPr>
      </w:pPr>
    </w:p>
    <w:p w:rsidRPr="00D5234D" w:rsidR="00D5234D" w:rsidP="00D5234D" w:rsidRDefault="00E9305A">
      <w:pPr>
        <w:pStyle w:val="ACText"/>
        <w:tabs>
          <w:tab w:val="left" w:pos="2268"/>
          <w:tab w:val="left" w:pos="2835"/>
        </w:tabs>
        <w:spacing w:before="0"/>
        <w:rPr>
          <w:rFonts w:ascii="Verdana" w:hAnsi="Verdana" w:cs="Arial"/>
        </w:rPr>
      </w:pPr>
      <w:r w:rsidRPr="00D5234D">
        <w:rPr>
          <w:rFonts w:ascii="Verdana" w:hAnsi="Verdana" w:cs="Arial"/>
        </w:rPr>
        <w:t>Fixtur</w:t>
      </w:r>
      <w:r w:rsidRPr="00D5234D" w:rsidR="003F400B">
        <w:rPr>
          <w:rFonts w:ascii="Verdana" w:hAnsi="Verdana" w:cs="Arial"/>
        </w:rPr>
        <w:t>es, fittings &amp; equipment</w:t>
      </w:r>
      <w:r w:rsidRPr="00D5234D" w:rsidR="003F400B">
        <w:rPr>
          <w:rFonts w:ascii="Verdana" w:hAnsi="Verdana" w:cs="Arial"/>
        </w:rPr>
        <w:tab/>
      </w:r>
      <w:r w:rsidRPr="00D5234D" w:rsidR="003F400B">
        <w:rPr>
          <w:rFonts w:ascii="Verdana" w:hAnsi="Verdana" w:cs="Arial"/>
        </w:rPr>
        <w:tab/>
      </w:r>
      <w:r w:rsidRPr="00D5234D" w:rsidR="00D5234D">
        <w:rPr>
          <w:rFonts w:ascii="Verdana" w:hAnsi="Verdana" w:cs="Arial"/>
        </w:rPr>
        <w:t>5 Years</w:t>
      </w:r>
    </w:p>
    <w:p w:rsidRPr="00D5234D" w:rsidR="00D5234D" w:rsidP="00D5234D" w:rsidRDefault="0044622F">
      <w:pPr>
        <w:pStyle w:val="ACText"/>
        <w:tabs>
          <w:tab w:val="left" w:pos="2268"/>
          <w:tab w:val="left" w:pos="2835"/>
        </w:tabs>
        <w:spacing w:before="0"/>
        <w:rPr>
          <w:rFonts w:ascii="Verdana" w:hAnsi="Verdana" w:cs="Arial"/>
        </w:rPr>
      </w:pPr>
      <w:r>
        <w:rPr>
          <w:rFonts w:ascii="Verdana" w:hAnsi="Verdana" w:cs="Arial"/>
        </w:rPr>
        <w:t>ICT</w:t>
      </w:r>
      <w:r w:rsidRPr="00D5234D" w:rsidR="00D5234D">
        <w:rPr>
          <w:rFonts w:ascii="Verdana" w:hAnsi="Verdana" w:cs="Arial"/>
        </w:rPr>
        <w:t xml:space="preserve"> equipment</w:t>
      </w:r>
      <w:r w:rsidRPr="00D5234D" w:rsidR="00D5234D">
        <w:rPr>
          <w:rFonts w:ascii="Verdana" w:hAnsi="Verdana" w:cs="Arial"/>
        </w:rPr>
        <w:tab/>
      </w:r>
      <w:r w:rsidRPr="00D5234D" w:rsidR="00D5234D">
        <w:rPr>
          <w:rFonts w:ascii="Verdana" w:hAnsi="Verdana" w:cs="Arial"/>
        </w:rPr>
        <w:tab/>
      </w:r>
      <w:r w:rsidRPr="00D5234D" w:rsidR="00D5234D">
        <w:rPr>
          <w:rFonts w:ascii="Verdana" w:hAnsi="Verdana" w:cs="Arial"/>
        </w:rPr>
        <w:tab/>
      </w:r>
      <w:r w:rsidRPr="00D5234D" w:rsidR="00D5234D">
        <w:rPr>
          <w:rFonts w:ascii="Verdana" w:hAnsi="Verdana" w:cs="Arial"/>
        </w:rPr>
        <w:tab/>
      </w:r>
      <w:r w:rsidRPr="00D5234D" w:rsidR="00D5234D">
        <w:rPr>
          <w:rFonts w:ascii="Verdana" w:hAnsi="Verdana" w:cs="Arial"/>
        </w:rPr>
        <w:tab/>
        <w:t>3 Years</w:t>
      </w:r>
    </w:p>
    <w:p w:rsidR="00D5234D" w:rsidP="00D5234D" w:rsidRDefault="00D5234D">
      <w:pPr>
        <w:pStyle w:val="ACText"/>
        <w:tabs>
          <w:tab w:val="left" w:pos="2268"/>
          <w:tab w:val="left" w:pos="2835"/>
        </w:tabs>
        <w:spacing w:before="0"/>
        <w:rPr>
          <w:rFonts w:ascii="Verdana" w:hAnsi="Verdana" w:cs="Arial"/>
          <w:highlight w:val="yellow"/>
        </w:rPr>
      </w:pPr>
    </w:p>
    <w:p w:rsidRPr="00D5234D" w:rsidR="00E9305A" w:rsidP="00D5234D" w:rsidRDefault="00E9305A">
      <w:pPr>
        <w:pStyle w:val="ACText"/>
        <w:tabs>
          <w:tab w:val="left" w:pos="2268"/>
          <w:tab w:val="left" w:pos="2835"/>
        </w:tabs>
        <w:spacing w:before="0"/>
        <w:rPr>
          <w:rFonts w:ascii="Verdana" w:hAnsi="Verdana" w:cs="Arial"/>
          <w:b/>
        </w:rPr>
      </w:pPr>
      <w:r w:rsidRPr="00D5234D">
        <w:rPr>
          <w:rFonts w:ascii="Verdana" w:hAnsi="Verdana" w:cs="Arial"/>
          <w:b/>
        </w:rPr>
        <w:t>Leases</w:t>
      </w:r>
    </w:p>
    <w:p w:rsidRPr="00D5234D" w:rsidR="00E9305A" w:rsidP="00E9305A" w:rsidRDefault="00E9305A">
      <w:pPr>
        <w:pStyle w:val="ACText"/>
        <w:rPr>
          <w:rFonts w:ascii="Verdana" w:hAnsi="Verdana" w:cs="Arial"/>
        </w:rPr>
      </w:pPr>
      <w:r w:rsidRPr="00D5234D">
        <w:rPr>
          <w:rFonts w:ascii="Verdana" w:hAnsi="Verdana" w:cs="Arial"/>
        </w:rPr>
        <w:t xml:space="preserve">Operating lease rentals are charged to the </w:t>
      </w:r>
      <w:r w:rsidRPr="00D5234D" w:rsidR="00856290">
        <w:rPr>
          <w:rFonts w:ascii="Verdana" w:hAnsi="Verdana" w:cs="Arial"/>
        </w:rPr>
        <w:t>Income &amp; E</w:t>
      </w:r>
      <w:r w:rsidRPr="00D5234D" w:rsidR="00F142FC">
        <w:rPr>
          <w:rFonts w:ascii="Verdana" w:hAnsi="Verdana" w:cs="Arial"/>
        </w:rPr>
        <w:t>xpenditure</w:t>
      </w:r>
      <w:r w:rsidRPr="00D5234D" w:rsidR="00856290">
        <w:rPr>
          <w:rFonts w:ascii="Verdana" w:hAnsi="Verdana" w:cs="Arial"/>
        </w:rPr>
        <w:t xml:space="preserve"> A</w:t>
      </w:r>
      <w:r w:rsidRPr="00D5234D">
        <w:rPr>
          <w:rFonts w:ascii="Verdana" w:hAnsi="Verdana" w:cs="Arial"/>
        </w:rPr>
        <w:t>ccount on a straight line basis over the period of the lease.</w:t>
      </w:r>
    </w:p>
    <w:p w:rsidRPr="00D5234D" w:rsidR="00E9305A" w:rsidP="00E9305A" w:rsidRDefault="00E9305A">
      <w:pPr>
        <w:pStyle w:val="ACText"/>
        <w:rPr>
          <w:rFonts w:ascii="Verdana" w:hAnsi="Verdana" w:cs="Arial"/>
          <w:b/>
        </w:rPr>
      </w:pPr>
      <w:r w:rsidRPr="00D5234D">
        <w:rPr>
          <w:rFonts w:ascii="Verdana" w:hAnsi="Verdana" w:cs="Arial"/>
          <w:b/>
        </w:rPr>
        <w:t>Post-retirement benefits</w:t>
      </w:r>
    </w:p>
    <w:p w:rsidRPr="00D5234D" w:rsidR="00E9305A" w:rsidP="00E9305A" w:rsidRDefault="00E9305A">
      <w:pPr>
        <w:pStyle w:val="ACText"/>
        <w:rPr>
          <w:rFonts w:ascii="Verdana" w:hAnsi="Verdana" w:cs="Arial"/>
        </w:rPr>
      </w:pPr>
      <w:r w:rsidRPr="00D5234D">
        <w:rPr>
          <w:rFonts w:ascii="Verdana" w:hAnsi="Verdana" w:cs="Arial"/>
        </w:rPr>
        <w:t xml:space="preserve">The company participates in the Local Government Pension Scheme (LGPS). The scheme is a defined benefit pension scheme based </w:t>
      </w:r>
      <w:r w:rsidRPr="00D5234D" w:rsidR="0039058A">
        <w:rPr>
          <w:rFonts w:ascii="Verdana" w:hAnsi="Verdana" w:cs="Arial"/>
        </w:rPr>
        <w:t xml:space="preserve">partly </w:t>
      </w:r>
      <w:r w:rsidRPr="00D5234D">
        <w:rPr>
          <w:rFonts w:ascii="Verdana" w:hAnsi="Verdana" w:cs="Arial"/>
        </w:rPr>
        <w:t xml:space="preserve">on final </w:t>
      </w:r>
      <w:r w:rsidRPr="00D5234D" w:rsidR="0039058A">
        <w:rPr>
          <w:rFonts w:ascii="Verdana" w:hAnsi="Verdana" w:cs="Arial"/>
        </w:rPr>
        <w:t>and partly on average pensionable salary</w:t>
      </w:r>
      <w:r w:rsidRPr="00D5234D">
        <w:rPr>
          <w:rFonts w:ascii="Verdana" w:hAnsi="Verdana" w:cs="Arial"/>
        </w:rPr>
        <w:t>.  The assets of the scheme are hel</w:t>
      </w:r>
      <w:r w:rsidRPr="00D5234D" w:rsidR="00722F3E">
        <w:rPr>
          <w:rFonts w:ascii="Verdana" w:hAnsi="Verdana" w:cs="Arial"/>
        </w:rPr>
        <w:t>d separately from those of the C</w:t>
      </w:r>
      <w:r w:rsidRPr="00D5234D">
        <w:rPr>
          <w:rFonts w:ascii="Verdana" w:hAnsi="Verdana" w:cs="Arial"/>
        </w:rPr>
        <w:t xml:space="preserve">ompany in an independently administered fund. </w:t>
      </w:r>
    </w:p>
    <w:p w:rsidRPr="00D5234D" w:rsidR="00E9305A" w:rsidP="00E9305A" w:rsidRDefault="00E9305A">
      <w:pPr>
        <w:pStyle w:val="ACText"/>
        <w:rPr>
          <w:rFonts w:ascii="Verdana" w:hAnsi="Verdana" w:cs="Arial"/>
        </w:rPr>
      </w:pPr>
      <w:r w:rsidRPr="00D5234D">
        <w:rPr>
          <w:rFonts w:ascii="Verdana" w:hAnsi="Verdana" w:cs="Arial"/>
        </w:rPr>
        <w:t>Pension scheme assets are measured using market values. Pension scheme liabilities are measured using a projected unit method and discounted at the current rate of return on a high quality corporate bond of equivalent term and currency to the liability.</w:t>
      </w:r>
    </w:p>
    <w:p w:rsidRPr="00D5234D" w:rsidR="00E9305A" w:rsidP="00E9305A" w:rsidRDefault="00E9305A">
      <w:pPr>
        <w:pStyle w:val="ACText"/>
        <w:rPr>
          <w:rFonts w:ascii="Verdana" w:hAnsi="Verdana" w:cs="Arial"/>
        </w:rPr>
      </w:pPr>
      <w:r w:rsidRPr="00D5234D">
        <w:rPr>
          <w:rFonts w:ascii="Verdana" w:hAnsi="Verdana" w:cs="Arial"/>
        </w:rPr>
        <w:t>The pension scheme surplus (to the extent that it is recoverable) or deficit is recognised in full. The movement in the scheme surplus/deficit is split between operat</w:t>
      </w:r>
      <w:r w:rsidRPr="00D5234D" w:rsidR="00486D5F">
        <w:rPr>
          <w:rFonts w:ascii="Verdana" w:hAnsi="Verdana" w:cs="Arial"/>
        </w:rPr>
        <w:t xml:space="preserve">ing charges, finance items and </w:t>
      </w:r>
      <w:r w:rsidRPr="00D5234D">
        <w:rPr>
          <w:rFonts w:ascii="Verdana" w:hAnsi="Verdana" w:cs="Arial"/>
        </w:rPr>
        <w:t>actuarial gains and losses.</w:t>
      </w:r>
    </w:p>
    <w:p w:rsidRPr="008B41ED" w:rsidR="00970B31" w:rsidP="00E9305A" w:rsidRDefault="00970B31">
      <w:pPr>
        <w:pStyle w:val="ACText"/>
        <w:rPr>
          <w:rFonts w:ascii="Verdana" w:hAnsi="Verdana" w:cs="Arial"/>
          <w:highlight w:val="yellow"/>
        </w:rPr>
      </w:pPr>
    </w:p>
    <w:p w:rsidRPr="00D5234D" w:rsidR="00DA0918" w:rsidP="00DA0918" w:rsidRDefault="00DA0918">
      <w:pPr>
        <w:pStyle w:val="Text"/>
        <w:rPr>
          <w:rFonts w:ascii="Verdana" w:hAnsi="Verdana"/>
          <w:b/>
          <w:sz w:val="20"/>
        </w:rPr>
      </w:pPr>
      <w:r w:rsidRPr="00D5234D">
        <w:rPr>
          <w:rFonts w:ascii="Verdana" w:hAnsi="Verdana"/>
          <w:b/>
          <w:sz w:val="20"/>
        </w:rPr>
        <w:t>Pension reimbursement rights</w:t>
      </w:r>
    </w:p>
    <w:p w:rsidRPr="00D5234D" w:rsidR="00DA0918" w:rsidP="00486D5F" w:rsidRDefault="000D0A8C">
      <w:pPr>
        <w:pStyle w:val="ACText"/>
        <w:rPr>
          <w:rFonts w:ascii="Verdana" w:hAnsi="Verdana"/>
        </w:rPr>
      </w:pPr>
      <w:r w:rsidRPr="00D5234D">
        <w:rPr>
          <w:rFonts w:ascii="Verdana" w:hAnsi="Verdana" w:cs="Arial"/>
        </w:rPr>
        <w:t>It has been agreed with The London Borough of Tower Ha</w:t>
      </w:r>
      <w:r w:rsidRPr="00D5234D" w:rsidR="00322C0E">
        <w:rPr>
          <w:rFonts w:ascii="Verdana" w:hAnsi="Verdana" w:cs="Arial"/>
        </w:rPr>
        <w:t>mlets</w:t>
      </w:r>
      <w:r w:rsidRPr="00D5234D">
        <w:rPr>
          <w:rFonts w:ascii="Verdana" w:hAnsi="Verdana" w:cs="Arial"/>
        </w:rPr>
        <w:t xml:space="preserve"> that where a deficit arises that they will provide an indemnity in respect of the pension obligations of the company.  Accordingly where a deficit arises, an equivalent reimbursement right asset is recognised on the balance sheet to reflect the Council indemnity.</w:t>
      </w:r>
      <w:r w:rsidRPr="00D5234D" w:rsidR="00486D5F">
        <w:rPr>
          <w:rFonts w:ascii="Verdana" w:hAnsi="Verdana" w:cs="Arial"/>
        </w:rPr>
        <w:t xml:space="preserve"> </w:t>
      </w:r>
      <w:r w:rsidRPr="00D5234D" w:rsidR="00DA0918">
        <w:rPr>
          <w:rFonts w:ascii="Verdana" w:hAnsi="Verdana"/>
        </w:rPr>
        <w:t xml:space="preserve">The change in value of </w:t>
      </w:r>
      <w:r w:rsidRPr="00D5234D" w:rsidR="00486D5F">
        <w:rPr>
          <w:rFonts w:ascii="Verdana" w:hAnsi="Verdana"/>
        </w:rPr>
        <w:t>this</w:t>
      </w:r>
      <w:r w:rsidRPr="00D5234D" w:rsidR="00DA0918">
        <w:rPr>
          <w:rFonts w:ascii="Verdana" w:hAnsi="Verdana"/>
        </w:rPr>
        <w:t xml:space="preserve"> reimbursement right asset</w:t>
      </w:r>
      <w:r w:rsidRPr="00D5234D" w:rsidR="00486D5F">
        <w:rPr>
          <w:rFonts w:ascii="Verdana" w:hAnsi="Verdana"/>
        </w:rPr>
        <w:t xml:space="preserve"> over the year</w:t>
      </w:r>
      <w:r w:rsidRPr="00D5234D" w:rsidR="00DA0918">
        <w:rPr>
          <w:rFonts w:ascii="Verdana" w:hAnsi="Verdana"/>
        </w:rPr>
        <w:t xml:space="preserve"> </w:t>
      </w:r>
      <w:r w:rsidRPr="00D5234D" w:rsidR="00486D5F">
        <w:rPr>
          <w:rFonts w:ascii="Verdana" w:hAnsi="Verdana"/>
        </w:rPr>
        <w:t xml:space="preserve">is shown in the statement of comprehensive income. </w:t>
      </w:r>
    </w:p>
    <w:p w:rsidRPr="008B41ED" w:rsidR="0039058A" w:rsidP="00E9305A" w:rsidRDefault="0039058A">
      <w:pPr>
        <w:pStyle w:val="ACText"/>
        <w:rPr>
          <w:rFonts w:ascii="Verdana" w:hAnsi="Verdana" w:cs="Arial"/>
          <w:b/>
          <w:highlight w:val="yellow"/>
        </w:rPr>
      </w:pPr>
    </w:p>
    <w:p w:rsidRPr="00D5234D" w:rsidR="00E9305A" w:rsidP="00E9305A" w:rsidRDefault="00E9305A">
      <w:pPr>
        <w:pStyle w:val="ACText"/>
        <w:rPr>
          <w:rFonts w:ascii="Verdana" w:hAnsi="Verdana" w:cs="Arial"/>
          <w:b/>
        </w:rPr>
      </w:pPr>
      <w:r w:rsidRPr="00D5234D">
        <w:rPr>
          <w:rFonts w:ascii="Verdana" w:hAnsi="Verdana" w:cs="Arial"/>
          <w:b/>
        </w:rPr>
        <w:t>Taxation</w:t>
      </w:r>
    </w:p>
    <w:p w:rsidRPr="00D5234D" w:rsidR="006A5FF6" w:rsidP="00E9305A" w:rsidRDefault="00E9305A">
      <w:pPr>
        <w:pStyle w:val="ACText"/>
        <w:rPr>
          <w:rFonts w:ascii="Verdana" w:hAnsi="Verdana" w:cs="Arial"/>
        </w:rPr>
      </w:pPr>
      <w:r w:rsidRPr="00D5234D">
        <w:rPr>
          <w:rFonts w:ascii="Verdana" w:hAnsi="Verdana" w:cs="Arial"/>
        </w:rPr>
        <w:t>The charge for taxation is based on the result for the period and takes into account taxation deferred because of timing differences between the treatment of certain items for taxation and accounting purposes. Except where otherwise required, full provisi</w:t>
      </w:r>
      <w:r w:rsidRPr="00D5234D" w:rsidR="0039058A">
        <w:rPr>
          <w:rFonts w:ascii="Verdana" w:hAnsi="Verdana" w:cs="Arial"/>
        </w:rPr>
        <w:t>on is made</w:t>
      </w:r>
      <w:r w:rsidRPr="00D5234D" w:rsidR="00486D5F">
        <w:rPr>
          <w:rFonts w:ascii="Verdana" w:hAnsi="Verdana" w:cs="Arial"/>
        </w:rPr>
        <w:t xml:space="preserve"> without discounting.</w:t>
      </w:r>
    </w:p>
    <w:p w:rsidRPr="00E474A0" w:rsidR="006A5FF6" w:rsidP="006A5FF6" w:rsidRDefault="00486D5F">
      <w:pPr>
        <w:pStyle w:val="ACText"/>
        <w:rPr>
          <w:rFonts w:ascii="Verdana" w:hAnsi="Verdana" w:cs="Arial"/>
          <w:b/>
        </w:rPr>
      </w:pPr>
      <w:r w:rsidRPr="008B41ED">
        <w:rPr>
          <w:rFonts w:ascii="Verdana" w:hAnsi="Verdana" w:cs="Arial"/>
          <w:b/>
          <w:sz w:val="26"/>
          <w:szCs w:val="26"/>
          <w:highlight w:val="yellow"/>
        </w:rPr>
        <w:br w:type="page"/>
      </w:r>
      <w:r w:rsidRPr="00E474A0" w:rsidR="006A5FF6">
        <w:rPr>
          <w:rFonts w:ascii="Verdana" w:hAnsi="Verdana" w:cs="Arial"/>
          <w:b/>
          <w:sz w:val="26"/>
          <w:szCs w:val="26"/>
        </w:rPr>
        <w:lastRenderedPageBreak/>
        <w:t>Notes - continued</w:t>
      </w:r>
    </w:p>
    <w:p w:rsidRPr="00E474A0" w:rsidR="00E9305A" w:rsidP="00E9305A" w:rsidRDefault="00E9305A">
      <w:pPr>
        <w:pStyle w:val="ACText"/>
        <w:rPr>
          <w:rFonts w:ascii="Verdana" w:hAnsi="Verdana" w:cs="Arial"/>
          <w:b/>
        </w:rPr>
      </w:pPr>
      <w:r w:rsidRPr="00E474A0">
        <w:rPr>
          <w:rFonts w:ascii="Verdana" w:hAnsi="Verdana" w:cs="Arial"/>
          <w:b/>
        </w:rPr>
        <w:t>Cash and liquid resources</w:t>
      </w:r>
    </w:p>
    <w:p w:rsidRPr="00E474A0" w:rsidR="00E9305A" w:rsidP="00E9305A" w:rsidRDefault="00E9305A">
      <w:pPr>
        <w:pStyle w:val="ACText"/>
        <w:rPr>
          <w:rFonts w:ascii="Verdana" w:hAnsi="Verdana" w:cs="Arial"/>
        </w:rPr>
      </w:pPr>
      <w:r w:rsidRPr="00E474A0">
        <w:rPr>
          <w:rFonts w:ascii="Verdana" w:hAnsi="Verdana" w:cs="Arial"/>
        </w:rPr>
        <w:t xml:space="preserve">Cash, for the purpose of the cash flow statement, comprises cash in hand and bank deposits repayable on demand. Liquid resources are current asset investments which are disposable without curtailing or disrupting the business and are either readily convertible into known amounts of cash at or close to their carrying values or traded in an active market.  </w:t>
      </w:r>
    </w:p>
    <w:p w:rsidRPr="00E474A0" w:rsidR="00832C85" w:rsidP="00832C85" w:rsidRDefault="00E9305A">
      <w:pPr>
        <w:pStyle w:val="Heading1"/>
        <w:numPr>
          <w:ilvl w:val="0"/>
          <w:numId w:val="0"/>
        </w:numPr>
        <w:rPr>
          <w:rFonts w:ascii="Verdana" w:hAnsi="Verdana" w:cs="Arial"/>
        </w:rPr>
      </w:pPr>
      <w:bookmarkStart w:name="_2._Analysis_of" w:id="88"/>
      <w:bookmarkEnd w:id="88"/>
      <w:r w:rsidRPr="00E474A0">
        <w:rPr>
          <w:rFonts w:ascii="Arial" w:hAnsi="Arial" w:cs="Arial"/>
        </w:rPr>
        <w:t xml:space="preserve">2. </w:t>
      </w:r>
      <w:r w:rsidRPr="00E474A0">
        <w:rPr>
          <w:rFonts w:ascii="Verdana" w:hAnsi="Verdana" w:cs="Arial"/>
        </w:rPr>
        <w:t>Analysis of turnover on ordinary activities before taxation</w:t>
      </w:r>
    </w:p>
    <w:p w:rsidRPr="00E474A0" w:rsidR="00832C85" w:rsidP="00832C85" w:rsidRDefault="00832C85"/>
    <w:tbl>
      <w:tblPr>
        <w:tblW w:w="9820" w:type="dxa"/>
        <w:tblInd w:w="93" w:type="dxa"/>
        <w:tblLook w:val="04A0" w:firstRow="1" w:lastRow="0" w:firstColumn="1" w:lastColumn="0" w:noHBand="0" w:noVBand="1"/>
      </w:tblPr>
      <w:tblGrid>
        <w:gridCol w:w="6460"/>
        <w:gridCol w:w="1500"/>
        <w:gridCol w:w="360"/>
        <w:gridCol w:w="1500"/>
      </w:tblGrid>
      <w:tr w:rsidRPr="002671BE" w:rsidR="00B111FF" w:rsidTr="00486D5F">
        <w:trPr>
          <w:trHeight w:val="300"/>
        </w:trPr>
        <w:tc>
          <w:tcPr>
            <w:tcW w:w="6460" w:type="dxa"/>
            <w:tcBorders>
              <w:top w:val="nil"/>
              <w:left w:val="nil"/>
              <w:bottom w:val="nil"/>
              <w:right w:val="nil"/>
            </w:tcBorders>
            <w:shd w:val="clear" w:color="000000" w:fill="F2F2F2"/>
            <w:noWrap/>
            <w:vAlign w:val="center"/>
            <w:hideMark/>
          </w:tcPr>
          <w:p w:rsidRPr="002671BE" w:rsidR="00486D5F" w:rsidP="00832C85" w:rsidRDefault="00486D5F">
            <w:pPr>
              <w:overflowPunct/>
              <w:autoSpaceDE/>
              <w:autoSpaceDN/>
              <w:adjustRightInd/>
              <w:jc w:val="left"/>
              <w:textAlignment w:val="auto"/>
              <w:rPr>
                <w:rFonts w:ascii="Verdana" w:hAnsi="Verdana" w:cs="Calibri"/>
                <w:b/>
                <w:bCs/>
                <w:sz w:val="20"/>
                <w:lang w:eastAsia="en-GB"/>
              </w:rPr>
            </w:pPr>
            <w:r w:rsidRPr="002671BE">
              <w:rPr>
                <w:rFonts w:ascii="Verdana" w:hAnsi="Verdana" w:cs="Calibri"/>
                <w:b/>
                <w:bCs/>
                <w:sz w:val="20"/>
                <w:lang w:eastAsia="en-GB"/>
              </w:rPr>
              <w:t> </w:t>
            </w:r>
          </w:p>
        </w:tc>
        <w:tc>
          <w:tcPr>
            <w:tcW w:w="1500" w:type="dxa"/>
            <w:tcBorders>
              <w:top w:val="nil"/>
              <w:left w:val="nil"/>
              <w:bottom w:val="nil"/>
              <w:right w:val="nil"/>
            </w:tcBorders>
            <w:shd w:val="clear" w:color="000000" w:fill="F2F2F2"/>
            <w:vAlign w:val="center"/>
            <w:hideMark/>
          </w:tcPr>
          <w:p w:rsidRPr="002671BE" w:rsidR="00486D5F" w:rsidP="00B111FF" w:rsidRDefault="00486D5F">
            <w:pPr>
              <w:overflowPunct/>
              <w:autoSpaceDE/>
              <w:autoSpaceDN/>
              <w:adjustRightInd/>
              <w:jc w:val="right"/>
              <w:textAlignment w:val="auto"/>
              <w:rPr>
                <w:rFonts w:ascii="Verdana" w:hAnsi="Verdana" w:cs="Calibri"/>
                <w:b/>
                <w:bCs/>
                <w:sz w:val="20"/>
                <w:lang w:eastAsia="en-GB"/>
              </w:rPr>
            </w:pPr>
            <w:r w:rsidRPr="002671BE">
              <w:rPr>
                <w:rFonts w:ascii="Verdana" w:hAnsi="Verdana" w:cs="Calibri"/>
                <w:b/>
                <w:bCs/>
                <w:sz w:val="20"/>
                <w:lang w:eastAsia="en-GB"/>
              </w:rPr>
              <w:t>201</w:t>
            </w:r>
            <w:r w:rsidR="00B111FF">
              <w:rPr>
                <w:rFonts w:ascii="Verdana" w:hAnsi="Verdana" w:cs="Calibri"/>
                <w:b/>
                <w:bCs/>
                <w:sz w:val="20"/>
                <w:lang w:eastAsia="en-GB"/>
              </w:rPr>
              <w:t>7</w:t>
            </w:r>
            <w:r w:rsidRPr="002671BE">
              <w:rPr>
                <w:rFonts w:ascii="Verdana" w:hAnsi="Verdana" w:cs="Calibri"/>
                <w:b/>
                <w:bCs/>
                <w:sz w:val="20"/>
                <w:lang w:eastAsia="en-GB"/>
              </w:rPr>
              <w:t>-1</w:t>
            </w:r>
            <w:r w:rsidR="00B111FF">
              <w:rPr>
                <w:rFonts w:ascii="Verdana" w:hAnsi="Verdana" w:cs="Calibri"/>
                <w:b/>
                <w:bCs/>
                <w:sz w:val="20"/>
                <w:lang w:eastAsia="en-GB"/>
              </w:rPr>
              <w:t>8</w:t>
            </w:r>
          </w:p>
        </w:tc>
        <w:tc>
          <w:tcPr>
            <w:tcW w:w="360" w:type="dxa"/>
            <w:tcBorders>
              <w:top w:val="nil"/>
              <w:left w:val="nil"/>
              <w:bottom w:val="nil"/>
              <w:right w:val="nil"/>
            </w:tcBorders>
            <w:shd w:val="clear" w:color="000000" w:fill="F2F2F2"/>
            <w:noWrap/>
            <w:vAlign w:val="bottom"/>
            <w:hideMark/>
          </w:tcPr>
          <w:p w:rsidRPr="002671BE" w:rsidR="00486D5F" w:rsidP="00832C85" w:rsidRDefault="00486D5F">
            <w:pPr>
              <w:overflowPunct/>
              <w:autoSpaceDE/>
              <w:autoSpaceDN/>
              <w:adjustRightInd/>
              <w:jc w:val="left"/>
              <w:textAlignment w:val="auto"/>
              <w:rPr>
                <w:rFonts w:ascii="Calibri" w:hAnsi="Calibri" w:cs="Calibri"/>
                <w:sz w:val="20"/>
                <w:lang w:eastAsia="en-GB"/>
              </w:rPr>
            </w:pPr>
            <w:r w:rsidRPr="002671BE">
              <w:rPr>
                <w:rFonts w:ascii="Calibri" w:hAnsi="Calibri" w:cs="Calibri"/>
                <w:sz w:val="20"/>
                <w:lang w:eastAsia="en-GB"/>
              </w:rPr>
              <w:t> </w:t>
            </w:r>
          </w:p>
        </w:tc>
        <w:tc>
          <w:tcPr>
            <w:tcW w:w="1500" w:type="dxa"/>
            <w:tcBorders>
              <w:top w:val="nil"/>
              <w:left w:val="nil"/>
              <w:bottom w:val="nil"/>
              <w:right w:val="nil"/>
            </w:tcBorders>
            <w:shd w:val="clear" w:color="000000" w:fill="F2F2F2"/>
            <w:vAlign w:val="center"/>
          </w:tcPr>
          <w:p w:rsidRPr="002671BE" w:rsidR="00486D5F" w:rsidP="00B111FF" w:rsidRDefault="00486D5F">
            <w:pPr>
              <w:overflowPunct/>
              <w:autoSpaceDE/>
              <w:autoSpaceDN/>
              <w:adjustRightInd/>
              <w:jc w:val="right"/>
              <w:textAlignment w:val="auto"/>
              <w:rPr>
                <w:rFonts w:ascii="Verdana" w:hAnsi="Verdana" w:cs="Calibri"/>
                <w:b/>
                <w:bCs/>
                <w:sz w:val="20"/>
                <w:lang w:eastAsia="en-GB"/>
              </w:rPr>
            </w:pPr>
            <w:r w:rsidRPr="002671BE">
              <w:rPr>
                <w:rFonts w:ascii="Verdana" w:hAnsi="Verdana" w:cs="Calibri"/>
                <w:b/>
                <w:bCs/>
                <w:sz w:val="20"/>
                <w:lang w:eastAsia="en-GB"/>
              </w:rPr>
              <w:t>201</w:t>
            </w:r>
            <w:r w:rsidR="00B111FF">
              <w:rPr>
                <w:rFonts w:ascii="Verdana" w:hAnsi="Verdana" w:cs="Calibri"/>
                <w:b/>
                <w:bCs/>
                <w:sz w:val="20"/>
                <w:lang w:eastAsia="en-GB"/>
              </w:rPr>
              <w:t>6</w:t>
            </w:r>
            <w:r w:rsidRPr="002671BE">
              <w:rPr>
                <w:rFonts w:ascii="Verdana" w:hAnsi="Verdana" w:cs="Calibri"/>
                <w:b/>
                <w:bCs/>
                <w:sz w:val="20"/>
                <w:lang w:eastAsia="en-GB"/>
              </w:rPr>
              <w:t>-1</w:t>
            </w:r>
            <w:r w:rsidR="00B111FF">
              <w:rPr>
                <w:rFonts w:ascii="Verdana" w:hAnsi="Verdana" w:cs="Calibri"/>
                <w:b/>
                <w:bCs/>
                <w:sz w:val="20"/>
                <w:lang w:eastAsia="en-GB"/>
              </w:rPr>
              <w:t>7</w:t>
            </w:r>
          </w:p>
        </w:tc>
      </w:tr>
      <w:tr w:rsidRPr="002671BE" w:rsidR="00B111FF" w:rsidTr="00486D5F">
        <w:trPr>
          <w:trHeight w:val="300"/>
        </w:trPr>
        <w:tc>
          <w:tcPr>
            <w:tcW w:w="6460" w:type="dxa"/>
            <w:tcBorders>
              <w:top w:val="nil"/>
              <w:left w:val="nil"/>
              <w:bottom w:val="nil"/>
              <w:right w:val="nil"/>
            </w:tcBorders>
            <w:shd w:val="clear" w:color="000000" w:fill="F2F2F2"/>
            <w:vAlign w:val="center"/>
            <w:hideMark/>
          </w:tcPr>
          <w:p w:rsidRPr="002671BE" w:rsidR="00486D5F" w:rsidP="00832C85" w:rsidRDefault="00486D5F">
            <w:pPr>
              <w:overflowPunct/>
              <w:autoSpaceDE/>
              <w:autoSpaceDN/>
              <w:adjustRightInd/>
              <w:textAlignment w:val="auto"/>
              <w:rPr>
                <w:rFonts w:ascii="Verdana" w:hAnsi="Verdana" w:cs="Calibri"/>
                <w:sz w:val="20"/>
                <w:lang w:eastAsia="en-GB"/>
              </w:rPr>
            </w:pPr>
            <w:r w:rsidRPr="002671BE">
              <w:rPr>
                <w:rFonts w:ascii="Verdana" w:hAnsi="Verdana" w:cs="Calibri"/>
                <w:sz w:val="20"/>
                <w:lang w:eastAsia="en-GB"/>
              </w:rPr>
              <w:t> </w:t>
            </w:r>
          </w:p>
        </w:tc>
        <w:tc>
          <w:tcPr>
            <w:tcW w:w="1500" w:type="dxa"/>
            <w:tcBorders>
              <w:top w:val="nil"/>
              <w:left w:val="nil"/>
              <w:bottom w:val="nil"/>
              <w:right w:val="nil"/>
            </w:tcBorders>
            <w:shd w:val="clear" w:color="000000" w:fill="F2F2F2"/>
            <w:vAlign w:val="center"/>
            <w:hideMark/>
          </w:tcPr>
          <w:p w:rsidRPr="002671BE" w:rsidR="00486D5F" w:rsidP="006A5FF6" w:rsidRDefault="00486D5F">
            <w:pPr>
              <w:overflowPunct/>
              <w:autoSpaceDE/>
              <w:autoSpaceDN/>
              <w:adjustRightInd/>
              <w:jc w:val="right"/>
              <w:textAlignment w:val="auto"/>
              <w:rPr>
                <w:rFonts w:ascii="Verdana" w:hAnsi="Verdana" w:cs="Calibri"/>
                <w:b/>
                <w:bCs/>
                <w:sz w:val="20"/>
                <w:lang w:eastAsia="en-GB"/>
              </w:rPr>
            </w:pPr>
            <w:r w:rsidRPr="002671BE">
              <w:rPr>
                <w:rFonts w:ascii="Verdana" w:hAnsi="Verdana" w:cs="Calibri"/>
                <w:b/>
                <w:bCs/>
                <w:sz w:val="20"/>
                <w:lang w:eastAsia="en-GB"/>
              </w:rPr>
              <w:t>£</w:t>
            </w:r>
          </w:p>
        </w:tc>
        <w:tc>
          <w:tcPr>
            <w:tcW w:w="360" w:type="dxa"/>
            <w:tcBorders>
              <w:top w:val="nil"/>
              <w:left w:val="nil"/>
              <w:bottom w:val="nil"/>
              <w:right w:val="nil"/>
            </w:tcBorders>
            <w:shd w:val="clear" w:color="000000" w:fill="F2F2F2"/>
            <w:noWrap/>
            <w:vAlign w:val="bottom"/>
            <w:hideMark/>
          </w:tcPr>
          <w:p w:rsidRPr="002671BE" w:rsidR="00486D5F" w:rsidP="00832C85" w:rsidRDefault="00486D5F">
            <w:pPr>
              <w:overflowPunct/>
              <w:autoSpaceDE/>
              <w:autoSpaceDN/>
              <w:adjustRightInd/>
              <w:jc w:val="center"/>
              <w:textAlignment w:val="auto"/>
              <w:rPr>
                <w:rFonts w:ascii="Calibri" w:hAnsi="Calibri" w:cs="Calibri"/>
                <w:sz w:val="20"/>
                <w:lang w:eastAsia="en-GB"/>
              </w:rPr>
            </w:pPr>
            <w:r w:rsidRPr="002671BE">
              <w:rPr>
                <w:rFonts w:ascii="Calibri" w:hAnsi="Calibri" w:cs="Calibri"/>
                <w:sz w:val="20"/>
                <w:lang w:eastAsia="en-GB"/>
              </w:rPr>
              <w:t> </w:t>
            </w:r>
          </w:p>
        </w:tc>
        <w:tc>
          <w:tcPr>
            <w:tcW w:w="1500" w:type="dxa"/>
            <w:tcBorders>
              <w:top w:val="nil"/>
              <w:left w:val="nil"/>
              <w:bottom w:val="nil"/>
              <w:right w:val="nil"/>
            </w:tcBorders>
            <w:shd w:val="clear" w:color="000000" w:fill="F2F2F2"/>
            <w:vAlign w:val="center"/>
          </w:tcPr>
          <w:p w:rsidRPr="002671BE" w:rsidR="00486D5F" w:rsidP="00AF5C73" w:rsidRDefault="00486D5F">
            <w:pPr>
              <w:overflowPunct/>
              <w:autoSpaceDE/>
              <w:autoSpaceDN/>
              <w:adjustRightInd/>
              <w:jc w:val="right"/>
              <w:textAlignment w:val="auto"/>
              <w:rPr>
                <w:rFonts w:ascii="Verdana" w:hAnsi="Verdana" w:cs="Calibri"/>
                <w:b/>
                <w:bCs/>
                <w:sz w:val="20"/>
                <w:lang w:eastAsia="en-GB"/>
              </w:rPr>
            </w:pPr>
            <w:r w:rsidRPr="002671BE">
              <w:rPr>
                <w:rFonts w:ascii="Verdana" w:hAnsi="Verdana" w:cs="Calibri"/>
                <w:b/>
                <w:bCs/>
                <w:sz w:val="20"/>
                <w:lang w:eastAsia="en-GB"/>
              </w:rPr>
              <w:t>£</w:t>
            </w:r>
          </w:p>
        </w:tc>
      </w:tr>
      <w:tr w:rsidRPr="002671BE" w:rsidR="00B111FF" w:rsidTr="00486D5F">
        <w:trPr>
          <w:trHeight w:val="300"/>
        </w:trPr>
        <w:tc>
          <w:tcPr>
            <w:tcW w:w="6460" w:type="dxa"/>
            <w:tcBorders>
              <w:top w:val="nil"/>
              <w:left w:val="nil"/>
              <w:bottom w:val="nil"/>
              <w:right w:val="nil"/>
            </w:tcBorders>
            <w:shd w:val="clear" w:color="000000" w:fill="F2F2F2"/>
            <w:vAlign w:val="center"/>
            <w:hideMark/>
          </w:tcPr>
          <w:p w:rsidRPr="002671BE" w:rsidR="00486D5F" w:rsidP="00832C85" w:rsidRDefault="00486D5F">
            <w:pPr>
              <w:overflowPunct/>
              <w:autoSpaceDE/>
              <w:autoSpaceDN/>
              <w:adjustRightInd/>
              <w:textAlignment w:val="auto"/>
              <w:rPr>
                <w:rFonts w:ascii="Verdana" w:hAnsi="Verdana" w:cs="Calibri"/>
                <w:sz w:val="20"/>
                <w:lang w:eastAsia="en-GB"/>
              </w:rPr>
            </w:pPr>
            <w:r w:rsidRPr="002671BE">
              <w:rPr>
                <w:rFonts w:ascii="Verdana" w:hAnsi="Verdana" w:cs="Calibri"/>
                <w:sz w:val="20"/>
                <w:lang w:eastAsia="en-GB"/>
              </w:rPr>
              <w:t> </w:t>
            </w:r>
          </w:p>
        </w:tc>
        <w:tc>
          <w:tcPr>
            <w:tcW w:w="1500" w:type="dxa"/>
            <w:tcBorders>
              <w:top w:val="nil"/>
              <w:left w:val="nil"/>
              <w:bottom w:val="nil"/>
              <w:right w:val="nil"/>
            </w:tcBorders>
            <w:shd w:val="clear" w:color="000000" w:fill="F2F2F2"/>
            <w:noWrap/>
            <w:vAlign w:val="bottom"/>
            <w:hideMark/>
          </w:tcPr>
          <w:p w:rsidRPr="002671BE" w:rsidR="00486D5F" w:rsidP="00832C85" w:rsidRDefault="00486D5F">
            <w:pPr>
              <w:overflowPunct/>
              <w:autoSpaceDE/>
              <w:autoSpaceDN/>
              <w:adjustRightInd/>
              <w:jc w:val="left"/>
              <w:textAlignment w:val="auto"/>
              <w:rPr>
                <w:rFonts w:ascii="Calibri" w:hAnsi="Calibri" w:cs="Calibri"/>
                <w:sz w:val="20"/>
                <w:lang w:eastAsia="en-GB"/>
              </w:rPr>
            </w:pPr>
            <w:r w:rsidRPr="002671BE">
              <w:rPr>
                <w:rFonts w:ascii="Calibri" w:hAnsi="Calibri" w:cs="Calibri"/>
                <w:sz w:val="20"/>
                <w:lang w:eastAsia="en-GB"/>
              </w:rPr>
              <w:t> </w:t>
            </w:r>
          </w:p>
        </w:tc>
        <w:tc>
          <w:tcPr>
            <w:tcW w:w="360" w:type="dxa"/>
            <w:tcBorders>
              <w:top w:val="nil"/>
              <w:left w:val="nil"/>
              <w:bottom w:val="nil"/>
              <w:right w:val="nil"/>
            </w:tcBorders>
            <w:shd w:val="clear" w:color="000000" w:fill="F2F2F2"/>
            <w:noWrap/>
            <w:vAlign w:val="bottom"/>
            <w:hideMark/>
          </w:tcPr>
          <w:p w:rsidRPr="002671BE" w:rsidR="00486D5F" w:rsidP="00832C85" w:rsidRDefault="00486D5F">
            <w:pPr>
              <w:overflowPunct/>
              <w:autoSpaceDE/>
              <w:autoSpaceDN/>
              <w:adjustRightInd/>
              <w:jc w:val="left"/>
              <w:textAlignment w:val="auto"/>
              <w:rPr>
                <w:rFonts w:ascii="Calibri" w:hAnsi="Calibri" w:cs="Calibri"/>
                <w:sz w:val="20"/>
                <w:lang w:eastAsia="en-GB"/>
              </w:rPr>
            </w:pPr>
            <w:r w:rsidRPr="002671BE">
              <w:rPr>
                <w:rFonts w:ascii="Calibri" w:hAnsi="Calibri" w:cs="Calibri"/>
                <w:sz w:val="20"/>
                <w:lang w:eastAsia="en-GB"/>
              </w:rPr>
              <w:t> </w:t>
            </w:r>
          </w:p>
        </w:tc>
        <w:tc>
          <w:tcPr>
            <w:tcW w:w="1500" w:type="dxa"/>
            <w:tcBorders>
              <w:top w:val="nil"/>
              <w:left w:val="nil"/>
              <w:bottom w:val="nil"/>
              <w:right w:val="nil"/>
            </w:tcBorders>
            <w:shd w:val="clear" w:color="000000" w:fill="F2F2F2"/>
            <w:vAlign w:val="bottom"/>
          </w:tcPr>
          <w:p w:rsidRPr="002671BE" w:rsidR="00486D5F" w:rsidP="00AF5C73" w:rsidRDefault="00486D5F">
            <w:pPr>
              <w:overflowPunct/>
              <w:autoSpaceDE/>
              <w:autoSpaceDN/>
              <w:adjustRightInd/>
              <w:jc w:val="left"/>
              <w:textAlignment w:val="auto"/>
              <w:rPr>
                <w:rFonts w:ascii="Calibri" w:hAnsi="Calibri" w:cs="Calibri"/>
                <w:sz w:val="20"/>
                <w:lang w:eastAsia="en-GB"/>
              </w:rPr>
            </w:pPr>
            <w:r w:rsidRPr="002671BE">
              <w:rPr>
                <w:rFonts w:ascii="Calibri" w:hAnsi="Calibri" w:cs="Calibri"/>
                <w:sz w:val="20"/>
                <w:lang w:eastAsia="en-GB"/>
              </w:rPr>
              <w:t> </w:t>
            </w:r>
          </w:p>
        </w:tc>
      </w:tr>
      <w:tr w:rsidRPr="002671BE" w:rsidR="00B111FF" w:rsidTr="00945337">
        <w:trPr>
          <w:trHeight w:val="300"/>
        </w:trPr>
        <w:tc>
          <w:tcPr>
            <w:tcW w:w="6460" w:type="dxa"/>
            <w:tcBorders>
              <w:top w:val="nil"/>
              <w:left w:val="nil"/>
              <w:bottom w:val="nil"/>
              <w:right w:val="nil"/>
            </w:tcBorders>
            <w:shd w:val="clear" w:color="000000" w:fill="F2F2F2"/>
            <w:vAlign w:val="center"/>
            <w:hideMark/>
          </w:tcPr>
          <w:p w:rsidRPr="002671BE" w:rsidR="00B111FF" w:rsidP="00832C85" w:rsidRDefault="00B111FF">
            <w:pPr>
              <w:overflowPunct/>
              <w:autoSpaceDE/>
              <w:autoSpaceDN/>
              <w:adjustRightInd/>
              <w:textAlignment w:val="auto"/>
              <w:rPr>
                <w:rFonts w:ascii="Verdana" w:hAnsi="Verdana" w:cs="Calibri"/>
                <w:sz w:val="20"/>
                <w:lang w:eastAsia="en-GB"/>
              </w:rPr>
            </w:pPr>
            <w:r w:rsidRPr="002671BE">
              <w:rPr>
                <w:rFonts w:ascii="Verdana" w:hAnsi="Verdana" w:cs="Calibri"/>
                <w:sz w:val="20"/>
                <w:lang w:eastAsia="en-GB"/>
              </w:rPr>
              <w:t>Management fee</w:t>
            </w:r>
          </w:p>
        </w:tc>
        <w:tc>
          <w:tcPr>
            <w:tcW w:w="1500" w:type="dxa"/>
            <w:tcBorders>
              <w:top w:val="nil"/>
              <w:left w:val="nil"/>
              <w:bottom w:val="nil"/>
              <w:right w:val="nil"/>
            </w:tcBorders>
            <w:shd w:val="clear" w:color="000000" w:fill="F2F2F2"/>
            <w:vAlign w:val="center"/>
            <w:hideMark/>
          </w:tcPr>
          <w:p w:rsidRPr="002671BE" w:rsidR="00B111FF" w:rsidP="00945337" w:rsidRDefault="00B111FF">
            <w:pPr>
              <w:overflowPunct/>
              <w:autoSpaceDE/>
              <w:autoSpaceDN/>
              <w:adjustRightInd/>
              <w:jc w:val="right"/>
              <w:textAlignment w:val="auto"/>
              <w:rPr>
                <w:rFonts w:ascii="Verdana" w:hAnsi="Verdana" w:cs="Calibri"/>
                <w:sz w:val="20"/>
                <w:lang w:eastAsia="en-GB"/>
              </w:rPr>
            </w:pPr>
            <w:r w:rsidRPr="002671BE">
              <w:rPr>
                <w:rFonts w:ascii="Verdana" w:hAnsi="Verdana" w:cs="Calibri"/>
                <w:sz w:val="20"/>
                <w:lang w:eastAsia="en-GB"/>
              </w:rPr>
              <w:t>3</w:t>
            </w:r>
            <w:r>
              <w:rPr>
                <w:rFonts w:ascii="Verdana" w:hAnsi="Verdana" w:cs="Calibri"/>
                <w:sz w:val="20"/>
                <w:lang w:eastAsia="en-GB"/>
              </w:rPr>
              <w:t>2</w:t>
            </w:r>
            <w:r w:rsidRPr="002671BE">
              <w:rPr>
                <w:rFonts w:ascii="Verdana" w:hAnsi="Verdana" w:cs="Calibri"/>
                <w:sz w:val="20"/>
                <w:lang w:eastAsia="en-GB"/>
              </w:rPr>
              <w:t>,</w:t>
            </w:r>
            <w:r>
              <w:rPr>
                <w:rFonts w:ascii="Verdana" w:hAnsi="Verdana" w:cs="Calibri"/>
                <w:sz w:val="20"/>
                <w:lang w:eastAsia="en-GB"/>
              </w:rPr>
              <w:t>786</w:t>
            </w:r>
            <w:r w:rsidRPr="002671BE">
              <w:rPr>
                <w:rFonts w:ascii="Verdana" w:hAnsi="Verdana" w:cs="Calibri"/>
                <w:sz w:val="20"/>
                <w:lang w:eastAsia="en-GB"/>
              </w:rPr>
              <w:t>,</w:t>
            </w:r>
            <w:r>
              <w:rPr>
                <w:rFonts w:ascii="Verdana" w:hAnsi="Verdana" w:cs="Calibri"/>
                <w:sz w:val="20"/>
                <w:lang w:eastAsia="en-GB"/>
              </w:rPr>
              <w:t>139</w:t>
            </w:r>
          </w:p>
        </w:tc>
        <w:tc>
          <w:tcPr>
            <w:tcW w:w="360" w:type="dxa"/>
            <w:tcBorders>
              <w:top w:val="nil"/>
              <w:left w:val="nil"/>
              <w:bottom w:val="nil"/>
              <w:right w:val="nil"/>
            </w:tcBorders>
            <w:shd w:val="clear" w:color="000000" w:fill="F2F2F2"/>
            <w:noWrap/>
            <w:vAlign w:val="center"/>
            <w:hideMark/>
          </w:tcPr>
          <w:p w:rsidRPr="002671BE" w:rsidR="00B111FF" w:rsidP="00945337" w:rsidRDefault="00B111FF">
            <w:pPr>
              <w:overflowPunct/>
              <w:autoSpaceDE/>
              <w:autoSpaceDN/>
              <w:adjustRightInd/>
              <w:jc w:val="right"/>
              <w:textAlignment w:val="auto"/>
              <w:rPr>
                <w:rFonts w:ascii="Calibri" w:hAnsi="Calibri" w:cs="Calibri"/>
                <w:sz w:val="20"/>
                <w:lang w:eastAsia="en-GB"/>
              </w:rPr>
            </w:pPr>
            <w:r w:rsidRPr="002671BE">
              <w:rPr>
                <w:rFonts w:ascii="Calibri" w:hAnsi="Calibri" w:cs="Calibri"/>
                <w:sz w:val="20"/>
                <w:lang w:eastAsia="en-GB"/>
              </w:rPr>
              <w:t> </w:t>
            </w:r>
          </w:p>
        </w:tc>
        <w:tc>
          <w:tcPr>
            <w:tcW w:w="1500" w:type="dxa"/>
            <w:tcBorders>
              <w:top w:val="nil"/>
              <w:left w:val="nil"/>
              <w:bottom w:val="nil"/>
              <w:right w:val="nil"/>
            </w:tcBorders>
            <w:shd w:val="clear" w:color="000000" w:fill="F2F2F2"/>
            <w:vAlign w:val="center"/>
          </w:tcPr>
          <w:p w:rsidRPr="00B111FF" w:rsidR="00B111FF" w:rsidP="00945337" w:rsidRDefault="00B111FF">
            <w:pPr>
              <w:overflowPunct/>
              <w:autoSpaceDE/>
              <w:autoSpaceDN/>
              <w:adjustRightInd/>
              <w:jc w:val="right"/>
              <w:textAlignment w:val="auto"/>
              <w:rPr>
                <w:rFonts w:ascii="Verdana" w:hAnsi="Verdana" w:cs="Calibri"/>
                <w:sz w:val="20"/>
                <w:lang w:eastAsia="en-GB"/>
              </w:rPr>
            </w:pPr>
            <w:r w:rsidRPr="00B111FF">
              <w:rPr>
                <w:rFonts w:ascii="Verdana" w:hAnsi="Verdana" w:cs="Calibri"/>
                <w:sz w:val="20"/>
                <w:lang w:eastAsia="en-GB"/>
              </w:rPr>
              <w:t>33,375,996</w:t>
            </w:r>
          </w:p>
        </w:tc>
      </w:tr>
      <w:tr w:rsidRPr="002671BE" w:rsidR="00B111FF" w:rsidTr="00945337">
        <w:trPr>
          <w:trHeight w:val="300"/>
        </w:trPr>
        <w:tc>
          <w:tcPr>
            <w:tcW w:w="6460" w:type="dxa"/>
            <w:tcBorders>
              <w:top w:val="nil"/>
              <w:left w:val="nil"/>
              <w:bottom w:val="nil"/>
              <w:right w:val="nil"/>
            </w:tcBorders>
            <w:shd w:val="clear" w:color="000000" w:fill="F2F2F2"/>
            <w:vAlign w:val="center"/>
            <w:hideMark/>
          </w:tcPr>
          <w:p w:rsidRPr="002671BE" w:rsidR="00B111FF" w:rsidP="00832C85" w:rsidRDefault="00B111FF">
            <w:pPr>
              <w:overflowPunct/>
              <w:autoSpaceDE/>
              <w:autoSpaceDN/>
              <w:adjustRightInd/>
              <w:textAlignment w:val="auto"/>
              <w:rPr>
                <w:rFonts w:ascii="Verdana" w:hAnsi="Verdana" w:cs="Calibri"/>
                <w:sz w:val="20"/>
                <w:lang w:eastAsia="en-GB"/>
              </w:rPr>
            </w:pPr>
            <w:r w:rsidRPr="002671BE">
              <w:rPr>
                <w:rFonts w:ascii="Verdana" w:hAnsi="Verdana" w:cs="Calibri"/>
                <w:sz w:val="20"/>
                <w:lang w:eastAsia="en-GB"/>
              </w:rPr>
              <w:t>Less pension contributions</w:t>
            </w:r>
          </w:p>
        </w:tc>
        <w:tc>
          <w:tcPr>
            <w:tcW w:w="1500" w:type="dxa"/>
            <w:tcBorders>
              <w:top w:val="nil"/>
              <w:left w:val="nil"/>
              <w:bottom w:val="nil"/>
              <w:right w:val="nil"/>
            </w:tcBorders>
            <w:shd w:val="clear" w:color="000000" w:fill="F2F2F2"/>
            <w:vAlign w:val="center"/>
            <w:hideMark/>
          </w:tcPr>
          <w:p w:rsidRPr="002671BE" w:rsidR="00B111FF" w:rsidP="00945337" w:rsidRDefault="00B111FF">
            <w:pPr>
              <w:overflowPunct/>
              <w:autoSpaceDE/>
              <w:autoSpaceDN/>
              <w:adjustRightInd/>
              <w:jc w:val="right"/>
              <w:textAlignment w:val="auto"/>
              <w:rPr>
                <w:rFonts w:ascii="Verdana" w:hAnsi="Verdana" w:cs="Calibri"/>
                <w:sz w:val="20"/>
                <w:lang w:eastAsia="en-GB"/>
              </w:rPr>
            </w:pPr>
            <w:r w:rsidRPr="002671BE">
              <w:rPr>
                <w:rFonts w:ascii="Verdana" w:hAnsi="Verdana" w:cs="Calibri"/>
                <w:sz w:val="20"/>
                <w:lang w:eastAsia="en-GB"/>
              </w:rPr>
              <w:t>(2,5</w:t>
            </w:r>
            <w:r>
              <w:rPr>
                <w:rFonts w:ascii="Verdana" w:hAnsi="Verdana" w:cs="Calibri"/>
                <w:sz w:val="20"/>
                <w:lang w:eastAsia="en-GB"/>
              </w:rPr>
              <w:t>87</w:t>
            </w:r>
            <w:r w:rsidRPr="002671BE">
              <w:rPr>
                <w:rFonts w:ascii="Verdana" w:hAnsi="Verdana" w:cs="Calibri"/>
                <w:sz w:val="20"/>
                <w:lang w:eastAsia="en-GB"/>
              </w:rPr>
              <w:t>,000)</w:t>
            </w:r>
          </w:p>
        </w:tc>
        <w:tc>
          <w:tcPr>
            <w:tcW w:w="360" w:type="dxa"/>
            <w:tcBorders>
              <w:top w:val="nil"/>
              <w:left w:val="nil"/>
              <w:bottom w:val="nil"/>
              <w:right w:val="nil"/>
            </w:tcBorders>
            <w:shd w:val="clear" w:color="000000" w:fill="F2F2F2"/>
            <w:noWrap/>
            <w:vAlign w:val="center"/>
            <w:hideMark/>
          </w:tcPr>
          <w:p w:rsidRPr="002671BE" w:rsidR="00B111FF" w:rsidP="00945337" w:rsidRDefault="00B111FF">
            <w:pPr>
              <w:overflowPunct/>
              <w:autoSpaceDE/>
              <w:autoSpaceDN/>
              <w:adjustRightInd/>
              <w:jc w:val="right"/>
              <w:textAlignment w:val="auto"/>
              <w:rPr>
                <w:rFonts w:ascii="Calibri" w:hAnsi="Calibri" w:cs="Calibri"/>
                <w:sz w:val="20"/>
                <w:lang w:eastAsia="en-GB"/>
              </w:rPr>
            </w:pPr>
            <w:r w:rsidRPr="002671BE">
              <w:rPr>
                <w:rFonts w:ascii="Calibri" w:hAnsi="Calibri" w:cs="Calibri"/>
                <w:sz w:val="20"/>
                <w:lang w:eastAsia="en-GB"/>
              </w:rPr>
              <w:t> </w:t>
            </w:r>
          </w:p>
        </w:tc>
        <w:tc>
          <w:tcPr>
            <w:tcW w:w="1500" w:type="dxa"/>
            <w:tcBorders>
              <w:top w:val="nil"/>
              <w:left w:val="nil"/>
              <w:bottom w:val="nil"/>
              <w:right w:val="nil"/>
            </w:tcBorders>
            <w:shd w:val="clear" w:color="000000" w:fill="F2F2F2"/>
            <w:vAlign w:val="center"/>
          </w:tcPr>
          <w:p w:rsidRPr="00B111FF" w:rsidR="00B111FF" w:rsidP="00945337" w:rsidRDefault="00B111FF">
            <w:pPr>
              <w:overflowPunct/>
              <w:autoSpaceDE/>
              <w:autoSpaceDN/>
              <w:adjustRightInd/>
              <w:jc w:val="right"/>
              <w:textAlignment w:val="auto"/>
              <w:rPr>
                <w:rFonts w:ascii="Verdana" w:hAnsi="Verdana" w:cs="Calibri"/>
                <w:sz w:val="20"/>
                <w:lang w:eastAsia="en-GB"/>
              </w:rPr>
            </w:pPr>
            <w:r w:rsidRPr="00B111FF">
              <w:rPr>
                <w:rFonts w:ascii="Verdana" w:hAnsi="Verdana" w:cs="Calibri"/>
                <w:sz w:val="20"/>
                <w:lang w:eastAsia="en-GB"/>
              </w:rPr>
              <w:t>(2,558,000)</w:t>
            </w:r>
          </w:p>
        </w:tc>
      </w:tr>
      <w:tr w:rsidRPr="002671BE" w:rsidR="00B111FF" w:rsidTr="00945337">
        <w:trPr>
          <w:trHeight w:val="315"/>
        </w:trPr>
        <w:tc>
          <w:tcPr>
            <w:tcW w:w="6460" w:type="dxa"/>
            <w:tcBorders>
              <w:top w:val="nil"/>
              <w:left w:val="nil"/>
              <w:bottom w:val="nil"/>
              <w:right w:val="nil"/>
            </w:tcBorders>
            <w:shd w:val="clear" w:color="000000" w:fill="F2F2F2"/>
            <w:vAlign w:val="center"/>
            <w:hideMark/>
          </w:tcPr>
          <w:p w:rsidRPr="002671BE" w:rsidR="00B111FF" w:rsidP="00832C85" w:rsidRDefault="00B111FF">
            <w:pPr>
              <w:overflowPunct/>
              <w:autoSpaceDE/>
              <w:autoSpaceDN/>
              <w:adjustRightInd/>
              <w:textAlignment w:val="auto"/>
              <w:rPr>
                <w:rFonts w:ascii="Verdana" w:hAnsi="Verdana" w:cs="Calibri"/>
                <w:sz w:val="20"/>
                <w:lang w:eastAsia="en-GB"/>
              </w:rPr>
            </w:pPr>
            <w:r w:rsidRPr="002671BE">
              <w:rPr>
                <w:rFonts w:ascii="Verdana" w:hAnsi="Verdana" w:cs="Calibri"/>
                <w:sz w:val="20"/>
                <w:lang w:eastAsia="en-GB"/>
              </w:rPr>
              <w:t>Turnover</w:t>
            </w:r>
          </w:p>
        </w:tc>
        <w:tc>
          <w:tcPr>
            <w:tcW w:w="1500" w:type="dxa"/>
            <w:tcBorders>
              <w:top w:val="single" w:color="auto" w:sz="4" w:space="0"/>
              <w:left w:val="nil"/>
              <w:bottom w:val="single" w:color="auto" w:sz="8" w:space="0"/>
              <w:right w:val="nil"/>
            </w:tcBorders>
            <w:shd w:val="clear" w:color="000000" w:fill="F2F2F2"/>
            <w:vAlign w:val="center"/>
            <w:hideMark/>
          </w:tcPr>
          <w:p w:rsidRPr="002671BE" w:rsidR="00B111FF" w:rsidP="00945337" w:rsidRDefault="00B111FF">
            <w:pPr>
              <w:overflowPunct/>
              <w:autoSpaceDE/>
              <w:autoSpaceDN/>
              <w:adjustRightInd/>
              <w:jc w:val="right"/>
              <w:textAlignment w:val="auto"/>
              <w:rPr>
                <w:rFonts w:ascii="Verdana" w:hAnsi="Verdana" w:cs="Calibri"/>
                <w:sz w:val="20"/>
                <w:lang w:eastAsia="en-GB"/>
              </w:rPr>
            </w:pPr>
            <w:r w:rsidRPr="002671BE">
              <w:rPr>
                <w:rFonts w:ascii="Verdana" w:hAnsi="Verdana" w:cs="Calibri"/>
                <w:sz w:val="20"/>
                <w:lang w:eastAsia="en-GB"/>
              </w:rPr>
              <w:t>30,</w:t>
            </w:r>
            <w:r>
              <w:rPr>
                <w:rFonts w:ascii="Verdana" w:hAnsi="Verdana" w:cs="Calibri"/>
                <w:sz w:val="20"/>
                <w:lang w:eastAsia="en-GB"/>
              </w:rPr>
              <w:t>199</w:t>
            </w:r>
            <w:r w:rsidRPr="002671BE">
              <w:rPr>
                <w:rFonts w:ascii="Verdana" w:hAnsi="Verdana" w:cs="Calibri"/>
                <w:sz w:val="20"/>
                <w:lang w:eastAsia="en-GB"/>
              </w:rPr>
              <w:t>,</w:t>
            </w:r>
            <w:r>
              <w:rPr>
                <w:rFonts w:ascii="Verdana" w:hAnsi="Verdana" w:cs="Calibri"/>
                <w:sz w:val="20"/>
                <w:lang w:eastAsia="en-GB"/>
              </w:rPr>
              <w:t>139</w:t>
            </w:r>
          </w:p>
        </w:tc>
        <w:tc>
          <w:tcPr>
            <w:tcW w:w="360" w:type="dxa"/>
            <w:tcBorders>
              <w:top w:val="nil"/>
              <w:left w:val="nil"/>
              <w:bottom w:val="nil"/>
              <w:right w:val="nil"/>
            </w:tcBorders>
            <w:shd w:val="clear" w:color="000000" w:fill="F2F2F2"/>
            <w:noWrap/>
            <w:vAlign w:val="center"/>
            <w:hideMark/>
          </w:tcPr>
          <w:p w:rsidRPr="002671BE" w:rsidR="00B111FF" w:rsidP="00945337" w:rsidRDefault="00B111FF">
            <w:pPr>
              <w:overflowPunct/>
              <w:autoSpaceDE/>
              <w:autoSpaceDN/>
              <w:adjustRightInd/>
              <w:jc w:val="right"/>
              <w:textAlignment w:val="auto"/>
              <w:rPr>
                <w:rFonts w:ascii="Calibri" w:hAnsi="Calibri" w:cs="Calibri"/>
                <w:sz w:val="20"/>
                <w:lang w:eastAsia="en-GB"/>
              </w:rPr>
            </w:pPr>
            <w:r w:rsidRPr="002671BE">
              <w:rPr>
                <w:rFonts w:ascii="Calibri" w:hAnsi="Calibri" w:cs="Calibri"/>
                <w:sz w:val="20"/>
                <w:lang w:eastAsia="en-GB"/>
              </w:rPr>
              <w:t> </w:t>
            </w:r>
          </w:p>
        </w:tc>
        <w:tc>
          <w:tcPr>
            <w:tcW w:w="1500" w:type="dxa"/>
            <w:tcBorders>
              <w:top w:val="single" w:color="auto" w:sz="4" w:space="0"/>
              <w:left w:val="nil"/>
              <w:bottom w:val="single" w:color="auto" w:sz="8" w:space="0"/>
              <w:right w:val="nil"/>
            </w:tcBorders>
            <w:shd w:val="clear" w:color="000000" w:fill="F2F2F2"/>
            <w:vAlign w:val="center"/>
          </w:tcPr>
          <w:p w:rsidRPr="00B111FF" w:rsidR="00B111FF" w:rsidP="00945337" w:rsidRDefault="00B111FF">
            <w:pPr>
              <w:overflowPunct/>
              <w:autoSpaceDE/>
              <w:autoSpaceDN/>
              <w:adjustRightInd/>
              <w:jc w:val="right"/>
              <w:textAlignment w:val="auto"/>
              <w:rPr>
                <w:rFonts w:ascii="Verdana" w:hAnsi="Verdana" w:cs="Calibri"/>
                <w:sz w:val="20"/>
                <w:lang w:eastAsia="en-GB"/>
              </w:rPr>
            </w:pPr>
            <w:r w:rsidRPr="00B111FF">
              <w:rPr>
                <w:rFonts w:ascii="Verdana" w:hAnsi="Verdana" w:cs="Calibri"/>
                <w:sz w:val="20"/>
                <w:lang w:eastAsia="en-GB"/>
              </w:rPr>
              <w:t>30,817,996</w:t>
            </w:r>
          </w:p>
        </w:tc>
      </w:tr>
    </w:tbl>
    <w:p w:rsidRPr="00E474A0" w:rsidR="00832C85" w:rsidP="00832C85" w:rsidRDefault="000E31B4">
      <w:pPr>
        <w:pStyle w:val="Heading1"/>
        <w:numPr>
          <w:ilvl w:val="0"/>
          <w:numId w:val="0"/>
        </w:numPr>
        <w:rPr>
          <w:rFonts w:ascii="Arial" w:hAnsi="Arial" w:cs="Arial"/>
        </w:rPr>
      </w:pPr>
      <w:r w:rsidRPr="00E474A0">
        <w:rPr>
          <w:rFonts w:ascii="Verdana" w:hAnsi="Verdana" w:cs="Arial"/>
          <w:b w:val="0"/>
          <w:bCs/>
          <w:iCs/>
          <w:lang w:eastAsia="en-GB"/>
        </w:rPr>
        <w:t>T</w:t>
      </w:r>
      <w:r w:rsidRPr="00E474A0" w:rsidR="00FE1D04">
        <w:rPr>
          <w:rFonts w:ascii="Verdana" w:hAnsi="Verdana" w:cs="Arial"/>
          <w:b w:val="0"/>
          <w:bCs/>
          <w:iCs/>
          <w:lang w:eastAsia="en-GB"/>
        </w:rPr>
        <w:t>urnover is</w:t>
      </w:r>
      <w:r w:rsidRPr="00E474A0">
        <w:rPr>
          <w:rFonts w:ascii="Verdana" w:hAnsi="Verdana" w:cs="Arial"/>
          <w:b w:val="0"/>
          <w:bCs/>
          <w:iCs/>
          <w:lang w:eastAsia="en-GB"/>
        </w:rPr>
        <w:t xml:space="preserve"> made up exclusively</w:t>
      </w:r>
      <w:r w:rsidRPr="00E474A0" w:rsidR="00FE1D04">
        <w:rPr>
          <w:rFonts w:ascii="Verdana" w:hAnsi="Verdana" w:cs="Arial"/>
          <w:b w:val="0"/>
          <w:bCs/>
          <w:iCs/>
          <w:lang w:eastAsia="en-GB"/>
        </w:rPr>
        <w:t xml:space="preserve"> </w:t>
      </w:r>
      <w:r w:rsidRPr="00E474A0" w:rsidR="007E1834">
        <w:rPr>
          <w:rFonts w:ascii="Verdana" w:hAnsi="Verdana" w:cs="Arial"/>
          <w:b w:val="0"/>
          <w:bCs/>
          <w:iCs/>
          <w:lang w:eastAsia="en-GB"/>
        </w:rPr>
        <w:t xml:space="preserve">of </w:t>
      </w:r>
      <w:r w:rsidRPr="00E474A0" w:rsidR="00FE1D04">
        <w:rPr>
          <w:rFonts w:ascii="Verdana" w:hAnsi="Verdana" w:cs="Arial"/>
          <w:b w:val="0"/>
          <w:bCs/>
          <w:iCs/>
          <w:lang w:eastAsia="en-GB"/>
        </w:rPr>
        <w:t>the management fee, the</w:t>
      </w:r>
      <w:r w:rsidRPr="00E474A0" w:rsidR="00FE1D04">
        <w:rPr>
          <w:rFonts w:ascii="Arial" w:hAnsi="Arial" w:cs="Arial"/>
          <w:b w:val="0"/>
        </w:rPr>
        <w:t xml:space="preserve"> </w:t>
      </w:r>
      <w:r w:rsidRPr="00E474A0" w:rsidR="00FE1D04">
        <w:rPr>
          <w:rFonts w:ascii="Verdana" w:hAnsi="Verdana" w:cs="Arial"/>
          <w:b w:val="0"/>
          <w:lang w:eastAsia="en-GB"/>
        </w:rPr>
        <w:t>sole activity being management of the Council’s housing stock</w:t>
      </w:r>
      <w:r w:rsidRPr="00E474A0">
        <w:rPr>
          <w:rFonts w:ascii="Arial" w:hAnsi="Arial" w:cs="Arial"/>
        </w:rPr>
        <w:t>.</w:t>
      </w:r>
    </w:p>
    <w:p w:rsidRPr="003D7583" w:rsidR="00E9305A" w:rsidP="00401755" w:rsidRDefault="00E9305A">
      <w:pPr>
        <w:pStyle w:val="Heading1"/>
        <w:numPr>
          <w:ilvl w:val="0"/>
          <w:numId w:val="0"/>
        </w:numPr>
        <w:rPr>
          <w:rFonts w:ascii="Verdana" w:hAnsi="Verdana" w:cs="Arial"/>
        </w:rPr>
      </w:pPr>
      <w:r w:rsidRPr="003D7583">
        <w:rPr>
          <w:rFonts w:ascii="Arial" w:hAnsi="Arial" w:cs="Arial"/>
        </w:rPr>
        <w:t>3</w:t>
      </w:r>
      <w:r w:rsidRPr="003D7583">
        <w:rPr>
          <w:rFonts w:ascii="Verdana" w:hAnsi="Verdana" w:cs="Arial"/>
        </w:rPr>
        <w:t xml:space="preserve">. </w:t>
      </w:r>
      <w:r w:rsidRPr="003D7583" w:rsidR="00E754CC">
        <w:rPr>
          <w:rFonts w:ascii="Verdana" w:hAnsi="Verdana" w:cs="Arial"/>
          <w:bCs/>
          <w:iCs/>
          <w:lang w:eastAsia="en-GB"/>
        </w:rPr>
        <w:t>(</w:t>
      </w:r>
      <w:r w:rsidR="00AB32A6">
        <w:rPr>
          <w:rFonts w:ascii="Verdana" w:hAnsi="Verdana" w:cs="Arial"/>
          <w:bCs/>
          <w:iCs/>
          <w:lang w:eastAsia="en-GB"/>
        </w:rPr>
        <w:t>Loss</w:t>
      </w:r>
      <w:r w:rsidRPr="003D7583" w:rsidR="00E754CC">
        <w:rPr>
          <w:rFonts w:ascii="Verdana" w:hAnsi="Verdana" w:cs="Arial"/>
          <w:bCs/>
          <w:iCs/>
          <w:lang w:eastAsia="en-GB"/>
        </w:rPr>
        <w:t>)</w:t>
      </w:r>
      <w:r w:rsidRPr="003D7583" w:rsidR="007E1834">
        <w:rPr>
          <w:rFonts w:ascii="Verdana" w:hAnsi="Verdana" w:cs="Arial"/>
          <w:bCs/>
          <w:iCs/>
          <w:lang w:eastAsia="en-GB"/>
        </w:rPr>
        <w:t>/</w:t>
      </w:r>
      <w:r w:rsidR="00AB32A6">
        <w:rPr>
          <w:rFonts w:ascii="Verdana" w:hAnsi="Verdana" w:cs="Arial"/>
          <w:bCs/>
          <w:iCs/>
          <w:lang w:eastAsia="en-GB"/>
        </w:rPr>
        <w:t>Profit</w:t>
      </w:r>
      <w:r w:rsidRPr="003D7583" w:rsidR="00E754CC">
        <w:rPr>
          <w:rFonts w:ascii="Verdana" w:hAnsi="Verdana" w:cs="Arial"/>
          <w:bCs/>
          <w:iCs/>
          <w:lang w:eastAsia="en-GB"/>
        </w:rPr>
        <w:t xml:space="preserve"> </w:t>
      </w:r>
      <w:r w:rsidRPr="003D7583">
        <w:rPr>
          <w:rFonts w:ascii="Verdana" w:hAnsi="Verdana" w:cs="Arial"/>
        </w:rPr>
        <w:t>on ordinary activities before taxation</w:t>
      </w:r>
    </w:p>
    <w:p w:rsidRPr="003D7583" w:rsidR="00862A94" w:rsidP="00862A94" w:rsidRDefault="00862A94"/>
    <w:tbl>
      <w:tblPr>
        <w:tblW w:w="9820" w:type="dxa"/>
        <w:tblInd w:w="93" w:type="dxa"/>
        <w:tblLook w:val="04A0" w:firstRow="1" w:lastRow="0" w:firstColumn="1" w:lastColumn="0" w:noHBand="0" w:noVBand="1"/>
      </w:tblPr>
      <w:tblGrid>
        <w:gridCol w:w="6460"/>
        <w:gridCol w:w="1500"/>
        <w:gridCol w:w="360"/>
        <w:gridCol w:w="1500"/>
      </w:tblGrid>
      <w:tr w:rsidRPr="003D7583" w:rsidR="00082DAE" w:rsidTr="00082DAE">
        <w:trPr>
          <w:trHeight w:val="300"/>
        </w:trPr>
        <w:tc>
          <w:tcPr>
            <w:tcW w:w="6460" w:type="dxa"/>
            <w:tcBorders>
              <w:top w:val="nil"/>
              <w:left w:val="nil"/>
              <w:bottom w:val="nil"/>
              <w:right w:val="nil"/>
            </w:tcBorders>
            <w:shd w:val="clear" w:color="000000" w:fill="F2F2F2"/>
            <w:vAlign w:val="center"/>
            <w:hideMark/>
          </w:tcPr>
          <w:p w:rsidRPr="003D7583" w:rsidR="00082DAE" w:rsidP="00832C85" w:rsidRDefault="00082DAE">
            <w:pPr>
              <w:overflowPunct/>
              <w:autoSpaceDE/>
              <w:autoSpaceDN/>
              <w:adjustRightInd/>
              <w:textAlignment w:val="auto"/>
              <w:rPr>
                <w:rFonts w:ascii="Verdana" w:hAnsi="Verdana" w:cs="Calibri"/>
                <w:color w:val="000000"/>
                <w:sz w:val="20"/>
                <w:lang w:eastAsia="en-GB"/>
              </w:rPr>
            </w:pPr>
            <w:r w:rsidRPr="003D7583">
              <w:rPr>
                <w:rFonts w:ascii="Verdana" w:hAnsi="Verdana" w:cs="Calibri"/>
                <w:color w:val="000000"/>
                <w:sz w:val="20"/>
                <w:lang w:eastAsia="en-GB"/>
              </w:rPr>
              <w:t> </w:t>
            </w:r>
          </w:p>
        </w:tc>
        <w:tc>
          <w:tcPr>
            <w:tcW w:w="1500" w:type="dxa"/>
            <w:tcBorders>
              <w:top w:val="nil"/>
              <w:left w:val="nil"/>
              <w:bottom w:val="nil"/>
              <w:right w:val="nil"/>
            </w:tcBorders>
            <w:shd w:val="clear" w:color="000000" w:fill="F2F2F2"/>
            <w:noWrap/>
            <w:vAlign w:val="center"/>
            <w:hideMark/>
          </w:tcPr>
          <w:p w:rsidRPr="003D7583" w:rsidR="00082DAE" w:rsidP="00B111FF" w:rsidRDefault="00082DAE">
            <w:pPr>
              <w:overflowPunct/>
              <w:autoSpaceDE/>
              <w:autoSpaceDN/>
              <w:adjustRightInd/>
              <w:jc w:val="right"/>
              <w:textAlignment w:val="auto"/>
              <w:rPr>
                <w:rFonts w:ascii="Verdana" w:hAnsi="Verdana" w:cs="Calibri"/>
                <w:b/>
                <w:bCs/>
                <w:color w:val="000000"/>
                <w:sz w:val="20"/>
                <w:lang w:eastAsia="en-GB"/>
              </w:rPr>
            </w:pPr>
            <w:r w:rsidRPr="003D7583">
              <w:rPr>
                <w:rFonts w:ascii="Verdana" w:hAnsi="Verdana" w:cs="Calibri"/>
                <w:b/>
                <w:bCs/>
                <w:color w:val="000000"/>
                <w:sz w:val="20"/>
                <w:lang w:eastAsia="en-GB"/>
              </w:rPr>
              <w:t>201</w:t>
            </w:r>
            <w:r w:rsidR="00B111FF">
              <w:rPr>
                <w:rFonts w:ascii="Verdana" w:hAnsi="Verdana" w:cs="Calibri"/>
                <w:b/>
                <w:bCs/>
                <w:color w:val="000000"/>
                <w:sz w:val="20"/>
                <w:lang w:eastAsia="en-GB"/>
              </w:rPr>
              <w:t>7</w:t>
            </w:r>
            <w:r w:rsidRPr="003D7583">
              <w:rPr>
                <w:rFonts w:ascii="Verdana" w:hAnsi="Verdana" w:cs="Calibri"/>
                <w:b/>
                <w:bCs/>
                <w:color w:val="000000"/>
                <w:sz w:val="20"/>
                <w:lang w:eastAsia="en-GB"/>
              </w:rPr>
              <w:t>-1</w:t>
            </w:r>
            <w:r w:rsidR="00B111FF">
              <w:rPr>
                <w:rFonts w:ascii="Verdana" w:hAnsi="Verdana" w:cs="Calibri"/>
                <w:b/>
                <w:bCs/>
                <w:color w:val="000000"/>
                <w:sz w:val="20"/>
                <w:lang w:eastAsia="en-GB"/>
              </w:rPr>
              <w:t>8</w:t>
            </w:r>
          </w:p>
        </w:tc>
        <w:tc>
          <w:tcPr>
            <w:tcW w:w="360" w:type="dxa"/>
            <w:tcBorders>
              <w:top w:val="nil"/>
              <w:left w:val="nil"/>
              <w:bottom w:val="nil"/>
              <w:right w:val="nil"/>
            </w:tcBorders>
            <w:shd w:val="clear" w:color="000000" w:fill="F2F2F2"/>
            <w:noWrap/>
            <w:vAlign w:val="bottom"/>
            <w:hideMark/>
          </w:tcPr>
          <w:p w:rsidRPr="003D7583" w:rsidR="00082DAE" w:rsidP="00832C85" w:rsidRDefault="00082DAE">
            <w:pPr>
              <w:overflowPunct/>
              <w:autoSpaceDE/>
              <w:autoSpaceDN/>
              <w:adjustRightInd/>
              <w:jc w:val="left"/>
              <w:textAlignment w:val="auto"/>
              <w:rPr>
                <w:rFonts w:ascii="Calibri" w:hAnsi="Calibri" w:cs="Calibri"/>
                <w:color w:val="000000"/>
                <w:sz w:val="20"/>
                <w:lang w:eastAsia="en-GB"/>
              </w:rPr>
            </w:pPr>
            <w:r w:rsidRPr="003D7583">
              <w:rPr>
                <w:rFonts w:ascii="Calibri" w:hAnsi="Calibri" w:cs="Calibri"/>
                <w:color w:val="000000"/>
                <w:sz w:val="20"/>
                <w:lang w:eastAsia="en-GB"/>
              </w:rPr>
              <w:t> </w:t>
            </w:r>
          </w:p>
        </w:tc>
        <w:tc>
          <w:tcPr>
            <w:tcW w:w="1500" w:type="dxa"/>
            <w:tcBorders>
              <w:top w:val="nil"/>
              <w:left w:val="nil"/>
              <w:bottom w:val="nil"/>
              <w:right w:val="nil"/>
            </w:tcBorders>
            <w:shd w:val="clear" w:color="000000" w:fill="F2F2F2"/>
            <w:vAlign w:val="center"/>
          </w:tcPr>
          <w:p w:rsidRPr="003D7583" w:rsidR="00082DAE" w:rsidP="00B111FF" w:rsidRDefault="00082DAE">
            <w:pPr>
              <w:overflowPunct/>
              <w:autoSpaceDE/>
              <w:autoSpaceDN/>
              <w:adjustRightInd/>
              <w:jc w:val="right"/>
              <w:textAlignment w:val="auto"/>
              <w:rPr>
                <w:rFonts w:ascii="Verdana" w:hAnsi="Verdana" w:cs="Calibri"/>
                <w:b/>
                <w:bCs/>
                <w:color w:val="000000"/>
                <w:sz w:val="20"/>
                <w:lang w:eastAsia="en-GB"/>
              </w:rPr>
            </w:pPr>
            <w:r w:rsidRPr="003D7583">
              <w:rPr>
                <w:rFonts w:ascii="Verdana" w:hAnsi="Verdana" w:cs="Calibri"/>
                <w:b/>
                <w:bCs/>
                <w:color w:val="000000"/>
                <w:sz w:val="20"/>
                <w:lang w:eastAsia="en-GB"/>
              </w:rPr>
              <w:t>201</w:t>
            </w:r>
            <w:r w:rsidR="00B111FF">
              <w:rPr>
                <w:rFonts w:ascii="Verdana" w:hAnsi="Verdana" w:cs="Calibri"/>
                <w:b/>
                <w:bCs/>
                <w:color w:val="000000"/>
                <w:sz w:val="20"/>
                <w:lang w:eastAsia="en-GB"/>
              </w:rPr>
              <w:t>6</w:t>
            </w:r>
            <w:r w:rsidRPr="003D7583">
              <w:rPr>
                <w:rFonts w:ascii="Verdana" w:hAnsi="Verdana" w:cs="Calibri"/>
                <w:b/>
                <w:bCs/>
                <w:color w:val="000000"/>
                <w:sz w:val="20"/>
                <w:lang w:eastAsia="en-GB"/>
              </w:rPr>
              <w:t>-1</w:t>
            </w:r>
            <w:r w:rsidR="00B111FF">
              <w:rPr>
                <w:rFonts w:ascii="Verdana" w:hAnsi="Verdana" w:cs="Calibri"/>
                <w:b/>
                <w:bCs/>
                <w:color w:val="000000"/>
                <w:sz w:val="20"/>
                <w:lang w:eastAsia="en-GB"/>
              </w:rPr>
              <w:t>7</w:t>
            </w:r>
          </w:p>
        </w:tc>
      </w:tr>
      <w:tr w:rsidRPr="003D7583" w:rsidR="00082DAE" w:rsidTr="00082DAE">
        <w:trPr>
          <w:trHeight w:val="300"/>
        </w:trPr>
        <w:tc>
          <w:tcPr>
            <w:tcW w:w="6460" w:type="dxa"/>
            <w:tcBorders>
              <w:top w:val="nil"/>
              <w:left w:val="nil"/>
              <w:bottom w:val="nil"/>
              <w:right w:val="nil"/>
            </w:tcBorders>
            <w:shd w:val="clear" w:color="000000" w:fill="F2F2F2"/>
            <w:vAlign w:val="center"/>
            <w:hideMark/>
          </w:tcPr>
          <w:p w:rsidRPr="003D7583" w:rsidR="00082DAE" w:rsidP="00832C85" w:rsidRDefault="00082DAE">
            <w:pPr>
              <w:overflowPunct/>
              <w:autoSpaceDE/>
              <w:autoSpaceDN/>
              <w:adjustRightInd/>
              <w:textAlignment w:val="auto"/>
              <w:rPr>
                <w:rFonts w:ascii="Verdana" w:hAnsi="Verdana" w:cs="Calibri"/>
                <w:color w:val="000000"/>
                <w:sz w:val="20"/>
                <w:lang w:eastAsia="en-GB"/>
              </w:rPr>
            </w:pPr>
            <w:r w:rsidRPr="003D7583">
              <w:rPr>
                <w:rFonts w:ascii="Verdana" w:hAnsi="Verdana" w:cs="Calibri"/>
                <w:color w:val="000000"/>
                <w:sz w:val="20"/>
                <w:lang w:eastAsia="en-GB"/>
              </w:rPr>
              <w:t> </w:t>
            </w:r>
          </w:p>
        </w:tc>
        <w:tc>
          <w:tcPr>
            <w:tcW w:w="1500" w:type="dxa"/>
            <w:tcBorders>
              <w:top w:val="nil"/>
              <w:left w:val="nil"/>
              <w:bottom w:val="nil"/>
              <w:right w:val="nil"/>
            </w:tcBorders>
            <w:shd w:val="clear" w:color="000000" w:fill="F2F2F2"/>
            <w:noWrap/>
            <w:vAlign w:val="center"/>
            <w:hideMark/>
          </w:tcPr>
          <w:p w:rsidRPr="003D7583" w:rsidR="00082DAE" w:rsidP="006A5FF6" w:rsidRDefault="00082DAE">
            <w:pPr>
              <w:overflowPunct/>
              <w:autoSpaceDE/>
              <w:autoSpaceDN/>
              <w:adjustRightInd/>
              <w:jc w:val="right"/>
              <w:textAlignment w:val="auto"/>
              <w:rPr>
                <w:rFonts w:ascii="Verdana" w:hAnsi="Verdana" w:cs="Calibri"/>
                <w:b/>
                <w:bCs/>
                <w:color w:val="000000"/>
                <w:sz w:val="20"/>
                <w:lang w:eastAsia="en-GB"/>
              </w:rPr>
            </w:pPr>
            <w:r w:rsidRPr="003D7583">
              <w:rPr>
                <w:rFonts w:ascii="Verdana" w:hAnsi="Verdana" w:cs="Calibri"/>
                <w:b/>
                <w:bCs/>
                <w:color w:val="000000"/>
                <w:sz w:val="20"/>
                <w:lang w:eastAsia="en-GB"/>
              </w:rPr>
              <w:t>£</w:t>
            </w:r>
          </w:p>
        </w:tc>
        <w:tc>
          <w:tcPr>
            <w:tcW w:w="360" w:type="dxa"/>
            <w:tcBorders>
              <w:top w:val="nil"/>
              <w:left w:val="nil"/>
              <w:bottom w:val="nil"/>
              <w:right w:val="nil"/>
            </w:tcBorders>
            <w:shd w:val="clear" w:color="000000" w:fill="F2F2F2"/>
            <w:noWrap/>
            <w:vAlign w:val="bottom"/>
            <w:hideMark/>
          </w:tcPr>
          <w:p w:rsidRPr="003D7583" w:rsidR="00082DAE" w:rsidP="00832C85" w:rsidRDefault="00082DAE">
            <w:pPr>
              <w:overflowPunct/>
              <w:autoSpaceDE/>
              <w:autoSpaceDN/>
              <w:adjustRightInd/>
              <w:jc w:val="center"/>
              <w:textAlignment w:val="auto"/>
              <w:rPr>
                <w:rFonts w:ascii="Calibri" w:hAnsi="Calibri" w:cs="Calibri"/>
                <w:color w:val="000000"/>
                <w:sz w:val="20"/>
                <w:lang w:eastAsia="en-GB"/>
              </w:rPr>
            </w:pPr>
            <w:r w:rsidRPr="003D7583">
              <w:rPr>
                <w:rFonts w:ascii="Calibri" w:hAnsi="Calibri" w:cs="Calibri"/>
                <w:color w:val="000000"/>
                <w:sz w:val="20"/>
                <w:lang w:eastAsia="en-GB"/>
              </w:rPr>
              <w:t> </w:t>
            </w:r>
          </w:p>
        </w:tc>
        <w:tc>
          <w:tcPr>
            <w:tcW w:w="1500" w:type="dxa"/>
            <w:tcBorders>
              <w:top w:val="nil"/>
              <w:left w:val="nil"/>
              <w:bottom w:val="nil"/>
              <w:right w:val="nil"/>
            </w:tcBorders>
            <w:shd w:val="clear" w:color="000000" w:fill="F2F2F2"/>
            <w:vAlign w:val="center"/>
          </w:tcPr>
          <w:p w:rsidRPr="003D7583" w:rsidR="00082DAE" w:rsidP="00AF5C73" w:rsidRDefault="00082DAE">
            <w:pPr>
              <w:overflowPunct/>
              <w:autoSpaceDE/>
              <w:autoSpaceDN/>
              <w:adjustRightInd/>
              <w:jc w:val="right"/>
              <w:textAlignment w:val="auto"/>
              <w:rPr>
                <w:rFonts w:ascii="Verdana" w:hAnsi="Verdana" w:cs="Calibri"/>
                <w:b/>
                <w:bCs/>
                <w:color w:val="000000"/>
                <w:sz w:val="20"/>
                <w:lang w:eastAsia="en-GB"/>
              </w:rPr>
            </w:pPr>
            <w:r w:rsidRPr="003D7583">
              <w:rPr>
                <w:rFonts w:ascii="Verdana" w:hAnsi="Verdana" w:cs="Calibri"/>
                <w:b/>
                <w:bCs/>
                <w:color w:val="000000"/>
                <w:sz w:val="20"/>
                <w:lang w:eastAsia="en-GB"/>
              </w:rPr>
              <w:t>£</w:t>
            </w:r>
          </w:p>
        </w:tc>
      </w:tr>
      <w:tr w:rsidRPr="003D7583" w:rsidR="00082DAE" w:rsidTr="00082DAE">
        <w:trPr>
          <w:trHeight w:val="300"/>
        </w:trPr>
        <w:tc>
          <w:tcPr>
            <w:tcW w:w="6460" w:type="dxa"/>
            <w:tcBorders>
              <w:top w:val="nil"/>
              <w:left w:val="nil"/>
              <w:bottom w:val="nil"/>
              <w:right w:val="nil"/>
            </w:tcBorders>
            <w:shd w:val="clear" w:color="000000" w:fill="F2F2F2"/>
            <w:vAlign w:val="center"/>
            <w:hideMark/>
          </w:tcPr>
          <w:p w:rsidRPr="003D7583" w:rsidR="00082DAE" w:rsidP="00832C85" w:rsidRDefault="00082DAE">
            <w:pPr>
              <w:overflowPunct/>
              <w:autoSpaceDE/>
              <w:autoSpaceDN/>
              <w:adjustRightInd/>
              <w:textAlignment w:val="auto"/>
              <w:rPr>
                <w:rFonts w:ascii="Verdana" w:hAnsi="Verdana" w:cs="Calibri"/>
                <w:color w:val="000000"/>
                <w:sz w:val="20"/>
                <w:lang w:eastAsia="en-GB"/>
              </w:rPr>
            </w:pPr>
            <w:r w:rsidRPr="003D7583">
              <w:rPr>
                <w:rFonts w:ascii="Verdana" w:hAnsi="Verdana" w:cs="Calibri"/>
                <w:color w:val="000000"/>
                <w:sz w:val="20"/>
                <w:lang w:eastAsia="en-GB"/>
              </w:rPr>
              <w:t> </w:t>
            </w:r>
          </w:p>
        </w:tc>
        <w:tc>
          <w:tcPr>
            <w:tcW w:w="1500" w:type="dxa"/>
            <w:tcBorders>
              <w:top w:val="nil"/>
              <w:left w:val="nil"/>
              <w:bottom w:val="nil"/>
              <w:right w:val="nil"/>
            </w:tcBorders>
            <w:shd w:val="clear" w:color="000000" w:fill="F2F2F2"/>
            <w:noWrap/>
            <w:vAlign w:val="center"/>
            <w:hideMark/>
          </w:tcPr>
          <w:p w:rsidRPr="003D7583" w:rsidR="00082DAE" w:rsidP="00832C85" w:rsidRDefault="00082DAE">
            <w:pPr>
              <w:overflowPunct/>
              <w:autoSpaceDE/>
              <w:autoSpaceDN/>
              <w:adjustRightInd/>
              <w:jc w:val="right"/>
              <w:textAlignment w:val="auto"/>
              <w:rPr>
                <w:rFonts w:ascii="Verdana" w:hAnsi="Verdana" w:cs="Calibri"/>
                <w:color w:val="000000"/>
                <w:sz w:val="20"/>
                <w:lang w:eastAsia="en-GB"/>
              </w:rPr>
            </w:pPr>
            <w:r w:rsidRPr="003D7583">
              <w:rPr>
                <w:rFonts w:ascii="Verdana" w:hAnsi="Verdana" w:cs="Calibri"/>
                <w:color w:val="000000"/>
                <w:sz w:val="20"/>
                <w:lang w:eastAsia="en-GB"/>
              </w:rPr>
              <w:t> </w:t>
            </w:r>
          </w:p>
        </w:tc>
        <w:tc>
          <w:tcPr>
            <w:tcW w:w="360" w:type="dxa"/>
            <w:tcBorders>
              <w:top w:val="nil"/>
              <w:left w:val="nil"/>
              <w:bottom w:val="nil"/>
              <w:right w:val="nil"/>
            </w:tcBorders>
            <w:shd w:val="clear" w:color="000000" w:fill="F2F2F2"/>
            <w:noWrap/>
            <w:vAlign w:val="bottom"/>
            <w:hideMark/>
          </w:tcPr>
          <w:p w:rsidRPr="003D7583" w:rsidR="00082DAE" w:rsidP="00832C85" w:rsidRDefault="00082DAE">
            <w:pPr>
              <w:overflowPunct/>
              <w:autoSpaceDE/>
              <w:autoSpaceDN/>
              <w:adjustRightInd/>
              <w:jc w:val="left"/>
              <w:textAlignment w:val="auto"/>
              <w:rPr>
                <w:rFonts w:ascii="Calibri" w:hAnsi="Calibri" w:cs="Calibri"/>
                <w:color w:val="000000"/>
                <w:sz w:val="20"/>
                <w:lang w:eastAsia="en-GB"/>
              </w:rPr>
            </w:pPr>
            <w:r w:rsidRPr="003D7583">
              <w:rPr>
                <w:rFonts w:ascii="Calibri" w:hAnsi="Calibri" w:cs="Calibri"/>
                <w:color w:val="000000"/>
                <w:sz w:val="20"/>
                <w:lang w:eastAsia="en-GB"/>
              </w:rPr>
              <w:t> </w:t>
            </w:r>
          </w:p>
        </w:tc>
        <w:tc>
          <w:tcPr>
            <w:tcW w:w="1500" w:type="dxa"/>
            <w:tcBorders>
              <w:top w:val="nil"/>
              <w:left w:val="nil"/>
              <w:bottom w:val="nil"/>
              <w:right w:val="nil"/>
            </w:tcBorders>
            <w:shd w:val="clear" w:color="000000" w:fill="F2F2F2"/>
            <w:vAlign w:val="center"/>
          </w:tcPr>
          <w:p w:rsidRPr="003D7583" w:rsidR="00082DAE" w:rsidP="00AF5C73" w:rsidRDefault="00082DAE">
            <w:pPr>
              <w:overflowPunct/>
              <w:autoSpaceDE/>
              <w:autoSpaceDN/>
              <w:adjustRightInd/>
              <w:jc w:val="right"/>
              <w:textAlignment w:val="auto"/>
              <w:rPr>
                <w:rFonts w:ascii="Verdana" w:hAnsi="Verdana" w:cs="Calibri"/>
                <w:color w:val="000000"/>
                <w:sz w:val="20"/>
                <w:lang w:eastAsia="en-GB"/>
              </w:rPr>
            </w:pPr>
            <w:r w:rsidRPr="003D7583">
              <w:rPr>
                <w:rFonts w:ascii="Verdana" w:hAnsi="Verdana" w:cs="Calibri"/>
                <w:color w:val="000000"/>
                <w:sz w:val="20"/>
                <w:lang w:eastAsia="en-GB"/>
              </w:rPr>
              <w:t> </w:t>
            </w:r>
          </w:p>
        </w:tc>
      </w:tr>
      <w:tr w:rsidRPr="003D7583" w:rsidR="00B111FF" w:rsidTr="00082DAE">
        <w:trPr>
          <w:trHeight w:val="300"/>
        </w:trPr>
        <w:tc>
          <w:tcPr>
            <w:tcW w:w="6460" w:type="dxa"/>
            <w:tcBorders>
              <w:top w:val="nil"/>
              <w:left w:val="nil"/>
              <w:bottom w:val="nil"/>
              <w:right w:val="nil"/>
            </w:tcBorders>
            <w:shd w:val="clear" w:color="000000" w:fill="F2F2F2"/>
            <w:vAlign w:val="center"/>
            <w:hideMark/>
          </w:tcPr>
          <w:p w:rsidRPr="003D7583" w:rsidR="00B111FF" w:rsidP="00AB32A6" w:rsidRDefault="00B111FF">
            <w:pPr>
              <w:overflowPunct/>
              <w:autoSpaceDE/>
              <w:autoSpaceDN/>
              <w:adjustRightInd/>
              <w:textAlignment w:val="auto"/>
              <w:rPr>
                <w:rFonts w:ascii="Verdana" w:hAnsi="Verdana" w:cs="Calibri"/>
                <w:color w:val="000000"/>
                <w:sz w:val="20"/>
                <w:lang w:eastAsia="en-GB"/>
              </w:rPr>
            </w:pPr>
            <w:r w:rsidRPr="003D7583">
              <w:rPr>
                <w:rFonts w:ascii="Verdana" w:hAnsi="Verdana" w:cs="Calibri"/>
                <w:color w:val="000000"/>
                <w:sz w:val="20"/>
                <w:lang w:eastAsia="en-GB"/>
              </w:rPr>
              <w:t>(</w:t>
            </w:r>
            <w:r>
              <w:rPr>
                <w:rFonts w:ascii="Verdana" w:hAnsi="Verdana" w:cs="Calibri"/>
                <w:color w:val="000000"/>
                <w:sz w:val="20"/>
                <w:lang w:eastAsia="en-GB"/>
              </w:rPr>
              <w:t>Loss</w:t>
            </w:r>
            <w:r w:rsidRPr="003D7583">
              <w:rPr>
                <w:rFonts w:ascii="Verdana" w:hAnsi="Verdana" w:cs="Calibri"/>
                <w:color w:val="000000"/>
                <w:sz w:val="20"/>
                <w:lang w:eastAsia="en-GB"/>
              </w:rPr>
              <w:t>)/</w:t>
            </w:r>
            <w:r>
              <w:rPr>
                <w:rFonts w:ascii="Verdana" w:hAnsi="Verdana" w:cs="Calibri"/>
                <w:color w:val="000000"/>
                <w:sz w:val="20"/>
                <w:lang w:eastAsia="en-GB"/>
              </w:rPr>
              <w:t>Profit</w:t>
            </w:r>
            <w:r w:rsidRPr="003D7583">
              <w:rPr>
                <w:rFonts w:ascii="Verdana" w:hAnsi="Verdana" w:cs="Calibri"/>
                <w:color w:val="000000"/>
                <w:sz w:val="20"/>
                <w:lang w:eastAsia="en-GB"/>
              </w:rPr>
              <w:t xml:space="preserve"> on Ordinary Activities before Taxation</w:t>
            </w:r>
          </w:p>
        </w:tc>
        <w:tc>
          <w:tcPr>
            <w:tcW w:w="1500" w:type="dxa"/>
            <w:tcBorders>
              <w:top w:val="nil"/>
              <w:left w:val="nil"/>
              <w:bottom w:val="nil"/>
              <w:right w:val="nil"/>
            </w:tcBorders>
            <w:shd w:val="clear" w:color="000000" w:fill="F2F2F2"/>
            <w:noWrap/>
            <w:vAlign w:val="center"/>
            <w:hideMark/>
          </w:tcPr>
          <w:p w:rsidRPr="003D7583" w:rsidR="00B111FF" w:rsidP="00945337" w:rsidRDefault="00B111FF">
            <w:pPr>
              <w:overflowPunct/>
              <w:autoSpaceDE/>
              <w:autoSpaceDN/>
              <w:adjustRightInd/>
              <w:jc w:val="right"/>
              <w:textAlignment w:val="auto"/>
              <w:rPr>
                <w:rFonts w:ascii="Verdana" w:hAnsi="Verdana" w:cs="Calibri"/>
                <w:color w:val="000000"/>
                <w:sz w:val="20"/>
                <w:lang w:eastAsia="en-GB"/>
              </w:rPr>
            </w:pPr>
            <w:r w:rsidRPr="003D7583">
              <w:rPr>
                <w:rFonts w:ascii="Verdana" w:hAnsi="Verdana" w:cs="Calibri"/>
                <w:color w:val="000000"/>
                <w:sz w:val="20"/>
                <w:lang w:eastAsia="en-GB"/>
              </w:rPr>
              <w:t>(</w:t>
            </w:r>
            <w:r>
              <w:rPr>
                <w:rFonts w:ascii="Verdana" w:hAnsi="Verdana" w:cs="Calibri"/>
                <w:color w:val="000000"/>
                <w:sz w:val="20"/>
                <w:lang w:eastAsia="en-GB"/>
              </w:rPr>
              <w:t>7</w:t>
            </w:r>
            <w:r w:rsidR="00945337">
              <w:rPr>
                <w:rFonts w:ascii="Verdana" w:hAnsi="Verdana" w:cs="Calibri"/>
                <w:color w:val="000000"/>
                <w:sz w:val="20"/>
                <w:lang w:eastAsia="en-GB"/>
              </w:rPr>
              <w:t>40</w:t>
            </w:r>
            <w:r>
              <w:rPr>
                <w:rFonts w:ascii="Verdana" w:hAnsi="Verdana" w:cs="Calibri"/>
                <w:color w:val="000000"/>
                <w:sz w:val="20"/>
                <w:lang w:eastAsia="en-GB"/>
              </w:rPr>
              <w:t>,</w:t>
            </w:r>
            <w:r w:rsidR="00945337">
              <w:rPr>
                <w:rFonts w:ascii="Verdana" w:hAnsi="Verdana" w:cs="Calibri"/>
                <w:color w:val="000000"/>
                <w:sz w:val="20"/>
                <w:lang w:eastAsia="en-GB"/>
              </w:rPr>
              <w:t>31</w:t>
            </w:r>
            <w:r>
              <w:rPr>
                <w:rFonts w:ascii="Verdana" w:hAnsi="Verdana" w:cs="Calibri"/>
                <w:color w:val="000000"/>
                <w:sz w:val="20"/>
                <w:lang w:eastAsia="en-GB"/>
              </w:rPr>
              <w:t>2</w:t>
            </w:r>
            <w:r w:rsidRPr="003D7583">
              <w:rPr>
                <w:rFonts w:ascii="Verdana" w:hAnsi="Verdana" w:cs="Calibri"/>
                <w:color w:val="000000"/>
                <w:sz w:val="20"/>
                <w:lang w:eastAsia="en-GB"/>
              </w:rPr>
              <w:t>)</w:t>
            </w:r>
          </w:p>
        </w:tc>
        <w:tc>
          <w:tcPr>
            <w:tcW w:w="360" w:type="dxa"/>
            <w:tcBorders>
              <w:top w:val="nil"/>
              <w:left w:val="nil"/>
              <w:bottom w:val="nil"/>
              <w:right w:val="nil"/>
            </w:tcBorders>
            <w:shd w:val="clear" w:color="000000" w:fill="F2F2F2"/>
            <w:noWrap/>
            <w:vAlign w:val="bottom"/>
            <w:hideMark/>
          </w:tcPr>
          <w:p w:rsidRPr="003D7583" w:rsidR="00B111FF" w:rsidP="00832C85" w:rsidRDefault="00B111FF">
            <w:pPr>
              <w:overflowPunct/>
              <w:autoSpaceDE/>
              <w:autoSpaceDN/>
              <w:adjustRightInd/>
              <w:jc w:val="left"/>
              <w:textAlignment w:val="auto"/>
              <w:rPr>
                <w:rFonts w:ascii="Calibri" w:hAnsi="Calibri" w:cs="Calibri"/>
                <w:color w:val="000000"/>
                <w:sz w:val="20"/>
                <w:lang w:eastAsia="en-GB"/>
              </w:rPr>
            </w:pPr>
            <w:r w:rsidRPr="003D7583">
              <w:rPr>
                <w:rFonts w:ascii="Calibri" w:hAnsi="Calibri" w:cs="Calibri"/>
                <w:color w:val="000000"/>
                <w:sz w:val="20"/>
                <w:lang w:eastAsia="en-GB"/>
              </w:rPr>
              <w:t> </w:t>
            </w:r>
          </w:p>
        </w:tc>
        <w:tc>
          <w:tcPr>
            <w:tcW w:w="1500" w:type="dxa"/>
            <w:tcBorders>
              <w:top w:val="nil"/>
              <w:left w:val="nil"/>
              <w:bottom w:val="nil"/>
              <w:right w:val="nil"/>
            </w:tcBorders>
            <w:shd w:val="clear" w:color="000000" w:fill="F2F2F2"/>
            <w:vAlign w:val="center"/>
          </w:tcPr>
          <w:p w:rsidRPr="003D7583" w:rsidR="00B111FF" w:rsidP="003B0A24" w:rsidRDefault="00B111FF">
            <w:pPr>
              <w:overflowPunct/>
              <w:autoSpaceDE/>
              <w:autoSpaceDN/>
              <w:adjustRightInd/>
              <w:jc w:val="right"/>
              <w:textAlignment w:val="auto"/>
              <w:rPr>
                <w:rFonts w:ascii="Verdana" w:hAnsi="Verdana" w:cs="Calibri"/>
                <w:color w:val="000000"/>
                <w:sz w:val="20"/>
                <w:lang w:eastAsia="en-GB"/>
              </w:rPr>
            </w:pPr>
            <w:r w:rsidRPr="003D7583">
              <w:rPr>
                <w:rFonts w:ascii="Verdana" w:hAnsi="Verdana" w:cs="Calibri"/>
                <w:color w:val="000000"/>
                <w:sz w:val="20"/>
                <w:lang w:eastAsia="en-GB"/>
              </w:rPr>
              <w:t>(</w:t>
            </w:r>
            <w:r>
              <w:rPr>
                <w:rFonts w:ascii="Verdana" w:hAnsi="Verdana" w:cs="Calibri"/>
                <w:color w:val="000000"/>
                <w:sz w:val="20"/>
                <w:lang w:eastAsia="en-GB"/>
              </w:rPr>
              <w:t>727,210</w:t>
            </w:r>
            <w:r w:rsidRPr="003D7583">
              <w:rPr>
                <w:rFonts w:ascii="Verdana" w:hAnsi="Verdana" w:cs="Calibri"/>
                <w:color w:val="000000"/>
                <w:sz w:val="20"/>
                <w:lang w:eastAsia="en-GB"/>
              </w:rPr>
              <w:t>)</w:t>
            </w:r>
          </w:p>
        </w:tc>
      </w:tr>
      <w:tr w:rsidRPr="003D7583" w:rsidR="00B111FF" w:rsidTr="00082DAE">
        <w:trPr>
          <w:trHeight w:val="300"/>
        </w:trPr>
        <w:tc>
          <w:tcPr>
            <w:tcW w:w="6460" w:type="dxa"/>
            <w:tcBorders>
              <w:top w:val="nil"/>
              <w:left w:val="nil"/>
              <w:bottom w:val="nil"/>
              <w:right w:val="nil"/>
            </w:tcBorders>
            <w:shd w:val="clear" w:color="000000" w:fill="F2F2F2"/>
            <w:vAlign w:val="center"/>
            <w:hideMark/>
          </w:tcPr>
          <w:p w:rsidRPr="003D7583" w:rsidR="00B111FF" w:rsidP="00832C85" w:rsidRDefault="00B111FF">
            <w:pPr>
              <w:overflowPunct/>
              <w:autoSpaceDE/>
              <w:autoSpaceDN/>
              <w:adjustRightInd/>
              <w:textAlignment w:val="auto"/>
              <w:rPr>
                <w:rFonts w:ascii="Verdana" w:hAnsi="Verdana" w:cs="Calibri"/>
                <w:color w:val="000000"/>
                <w:sz w:val="20"/>
                <w:lang w:eastAsia="en-GB"/>
              </w:rPr>
            </w:pPr>
            <w:r w:rsidRPr="003D7583">
              <w:rPr>
                <w:rFonts w:ascii="Verdana" w:hAnsi="Verdana" w:cs="Calibri"/>
                <w:color w:val="000000"/>
                <w:sz w:val="20"/>
                <w:lang w:eastAsia="en-GB"/>
              </w:rPr>
              <w:t> </w:t>
            </w:r>
          </w:p>
        </w:tc>
        <w:tc>
          <w:tcPr>
            <w:tcW w:w="1500" w:type="dxa"/>
            <w:tcBorders>
              <w:top w:val="nil"/>
              <w:left w:val="nil"/>
              <w:bottom w:val="nil"/>
              <w:right w:val="nil"/>
            </w:tcBorders>
            <w:shd w:val="clear" w:color="000000" w:fill="F2F2F2"/>
            <w:noWrap/>
            <w:vAlign w:val="center"/>
            <w:hideMark/>
          </w:tcPr>
          <w:p w:rsidRPr="003D7583" w:rsidR="00B111FF" w:rsidP="00832C85" w:rsidRDefault="00B111FF">
            <w:pPr>
              <w:overflowPunct/>
              <w:autoSpaceDE/>
              <w:autoSpaceDN/>
              <w:adjustRightInd/>
              <w:jc w:val="right"/>
              <w:textAlignment w:val="auto"/>
              <w:rPr>
                <w:rFonts w:ascii="Verdana" w:hAnsi="Verdana" w:cs="Calibri"/>
                <w:color w:val="000000"/>
                <w:sz w:val="20"/>
                <w:lang w:eastAsia="en-GB"/>
              </w:rPr>
            </w:pPr>
            <w:r w:rsidRPr="003D7583">
              <w:rPr>
                <w:rFonts w:ascii="Verdana" w:hAnsi="Verdana" w:cs="Calibri"/>
                <w:color w:val="000000"/>
                <w:sz w:val="20"/>
                <w:lang w:eastAsia="en-GB"/>
              </w:rPr>
              <w:t> </w:t>
            </w:r>
          </w:p>
        </w:tc>
        <w:tc>
          <w:tcPr>
            <w:tcW w:w="360" w:type="dxa"/>
            <w:tcBorders>
              <w:top w:val="nil"/>
              <w:left w:val="nil"/>
              <w:bottom w:val="nil"/>
              <w:right w:val="nil"/>
            </w:tcBorders>
            <w:shd w:val="clear" w:color="000000" w:fill="F2F2F2"/>
            <w:noWrap/>
            <w:vAlign w:val="bottom"/>
            <w:hideMark/>
          </w:tcPr>
          <w:p w:rsidRPr="003D7583" w:rsidR="00B111FF" w:rsidP="00832C85" w:rsidRDefault="00B111FF">
            <w:pPr>
              <w:overflowPunct/>
              <w:autoSpaceDE/>
              <w:autoSpaceDN/>
              <w:adjustRightInd/>
              <w:jc w:val="left"/>
              <w:textAlignment w:val="auto"/>
              <w:rPr>
                <w:rFonts w:ascii="Calibri" w:hAnsi="Calibri" w:cs="Calibri"/>
                <w:color w:val="000000"/>
                <w:sz w:val="20"/>
                <w:lang w:eastAsia="en-GB"/>
              </w:rPr>
            </w:pPr>
            <w:r w:rsidRPr="003D7583">
              <w:rPr>
                <w:rFonts w:ascii="Calibri" w:hAnsi="Calibri" w:cs="Calibri"/>
                <w:color w:val="000000"/>
                <w:sz w:val="20"/>
                <w:lang w:eastAsia="en-GB"/>
              </w:rPr>
              <w:t> </w:t>
            </w:r>
          </w:p>
        </w:tc>
        <w:tc>
          <w:tcPr>
            <w:tcW w:w="1500" w:type="dxa"/>
            <w:tcBorders>
              <w:top w:val="nil"/>
              <w:left w:val="nil"/>
              <w:bottom w:val="nil"/>
              <w:right w:val="nil"/>
            </w:tcBorders>
            <w:shd w:val="clear" w:color="000000" w:fill="F2F2F2"/>
            <w:vAlign w:val="center"/>
          </w:tcPr>
          <w:p w:rsidRPr="003D7583" w:rsidR="00B111FF" w:rsidP="003B0A24" w:rsidRDefault="00B111FF">
            <w:pPr>
              <w:overflowPunct/>
              <w:autoSpaceDE/>
              <w:autoSpaceDN/>
              <w:adjustRightInd/>
              <w:jc w:val="right"/>
              <w:textAlignment w:val="auto"/>
              <w:rPr>
                <w:rFonts w:ascii="Verdana" w:hAnsi="Verdana" w:cs="Calibri"/>
                <w:color w:val="000000"/>
                <w:sz w:val="20"/>
                <w:lang w:eastAsia="en-GB"/>
              </w:rPr>
            </w:pPr>
            <w:r w:rsidRPr="003D7583">
              <w:rPr>
                <w:rFonts w:ascii="Verdana" w:hAnsi="Verdana" w:cs="Calibri"/>
                <w:color w:val="000000"/>
                <w:sz w:val="20"/>
                <w:lang w:eastAsia="en-GB"/>
              </w:rPr>
              <w:t> </w:t>
            </w:r>
          </w:p>
        </w:tc>
      </w:tr>
      <w:tr w:rsidRPr="003D7583" w:rsidR="00B111FF" w:rsidTr="00082DAE">
        <w:trPr>
          <w:trHeight w:val="300"/>
        </w:trPr>
        <w:tc>
          <w:tcPr>
            <w:tcW w:w="6460" w:type="dxa"/>
            <w:tcBorders>
              <w:top w:val="nil"/>
              <w:left w:val="nil"/>
              <w:bottom w:val="nil"/>
              <w:right w:val="nil"/>
            </w:tcBorders>
            <w:shd w:val="clear" w:color="000000" w:fill="F2F2F2"/>
            <w:vAlign w:val="center"/>
            <w:hideMark/>
          </w:tcPr>
          <w:p w:rsidRPr="003D7583" w:rsidR="00B111FF" w:rsidP="007315EB" w:rsidRDefault="00B111FF">
            <w:pPr>
              <w:overflowPunct/>
              <w:autoSpaceDE/>
              <w:autoSpaceDN/>
              <w:adjustRightInd/>
              <w:textAlignment w:val="auto"/>
              <w:rPr>
                <w:rFonts w:ascii="Verdana" w:hAnsi="Verdana" w:cs="Calibri"/>
                <w:color w:val="000000"/>
                <w:sz w:val="20"/>
                <w:lang w:eastAsia="en-GB"/>
              </w:rPr>
            </w:pPr>
            <w:r w:rsidRPr="003D7583">
              <w:rPr>
                <w:rFonts w:ascii="Verdana" w:hAnsi="Verdana" w:cs="Calibri"/>
                <w:color w:val="000000"/>
                <w:sz w:val="20"/>
                <w:lang w:eastAsia="en-GB"/>
              </w:rPr>
              <w:t>Auditor’s remuneration</w:t>
            </w:r>
          </w:p>
        </w:tc>
        <w:tc>
          <w:tcPr>
            <w:tcW w:w="1500" w:type="dxa"/>
            <w:tcBorders>
              <w:top w:val="nil"/>
              <w:left w:val="nil"/>
              <w:bottom w:val="nil"/>
              <w:right w:val="nil"/>
            </w:tcBorders>
            <w:shd w:val="clear" w:color="000000" w:fill="F2F2F2"/>
            <w:noWrap/>
            <w:vAlign w:val="center"/>
            <w:hideMark/>
          </w:tcPr>
          <w:p w:rsidRPr="003D7583" w:rsidR="00B111FF" w:rsidP="00945337" w:rsidRDefault="00B111FF">
            <w:pPr>
              <w:overflowPunct/>
              <w:autoSpaceDE/>
              <w:autoSpaceDN/>
              <w:adjustRightInd/>
              <w:jc w:val="right"/>
              <w:textAlignment w:val="auto"/>
              <w:rPr>
                <w:rFonts w:ascii="Verdana" w:hAnsi="Verdana" w:cs="Calibri"/>
                <w:color w:val="000000"/>
                <w:sz w:val="20"/>
                <w:lang w:eastAsia="en-GB"/>
              </w:rPr>
            </w:pPr>
            <w:r w:rsidRPr="003D7583">
              <w:rPr>
                <w:rFonts w:ascii="Verdana" w:hAnsi="Verdana" w:cs="Calibri"/>
                <w:color w:val="000000"/>
                <w:sz w:val="20"/>
                <w:lang w:eastAsia="en-GB"/>
              </w:rPr>
              <w:t>25,</w:t>
            </w:r>
            <w:r w:rsidR="00945337">
              <w:rPr>
                <w:rFonts w:ascii="Verdana" w:hAnsi="Verdana" w:cs="Calibri"/>
                <w:color w:val="000000"/>
                <w:sz w:val="20"/>
                <w:lang w:eastAsia="en-GB"/>
              </w:rPr>
              <w:t>950</w:t>
            </w:r>
          </w:p>
        </w:tc>
        <w:tc>
          <w:tcPr>
            <w:tcW w:w="360" w:type="dxa"/>
            <w:tcBorders>
              <w:top w:val="nil"/>
              <w:left w:val="nil"/>
              <w:bottom w:val="nil"/>
              <w:right w:val="nil"/>
            </w:tcBorders>
            <w:shd w:val="clear" w:color="000000" w:fill="F2F2F2"/>
            <w:noWrap/>
            <w:vAlign w:val="bottom"/>
            <w:hideMark/>
          </w:tcPr>
          <w:p w:rsidRPr="003D7583" w:rsidR="00B111FF" w:rsidP="00832C85" w:rsidRDefault="00B111FF">
            <w:pPr>
              <w:overflowPunct/>
              <w:autoSpaceDE/>
              <w:autoSpaceDN/>
              <w:adjustRightInd/>
              <w:jc w:val="left"/>
              <w:textAlignment w:val="auto"/>
              <w:rPr>
                <w:rFonts w:ascii="Calibri" w:hAnsi="Calibri" w:cs="Calibri"/>
                <w:color w:val="000000"/>
                <w:sz w:val="20"/>
                <w:lang w:eastAsia="en-GB"/>
              </w:rPr>
            </w:pPr>
            <w:r w:rsidRPr="003D7583">
              <w:rPr>
                <w:rFonts w:ascii="Calibri" w:hAnsi="Calibri" w:cs="Calibri"/>
                <w:color w:val="000000"/>
                <w:sz w:val="20"/>
                <w:lang w:eastAsia="en-GB"/>
              </w:rPr>
              <w:t> </w:t>
            </w:r>
          </w:p>
        </w:tc>
        <w:tc>
          <w:tcPr>
            <w:tcW w:w="1500" w:type="dxa"/>
            <w:tcBorders>
              <w:top w:val="nil"/>
              <w:left w:val="nil"/>
              <w:bottom w:val="nil"/>
              <w:right w:val="nil"/>
            </w:tcBorders>
            <w:shd w:val="clear" w:color="000000" w:fill="F2F2F2"/>
            <w:vAlign w:val="center"/>
          </w:tcPr>
          <w:p w:rsidRPr="003D7583" w:rsidR="00B111FF" w:rsidP="003B0A24" w:rsidRDefault="00B111FF">
            <w:pPr>
              <w:overflowPunct/>
              <w:autoSpaceDE/>
              <w:autoSpaceDN/>
              <w:adjustRightInd/>
              <w:jc w:val="right"/>
              <w:textAlignment w:val="auto"/>
              <w:rPr>
                <w:rFonts w:ascii="Verdana" w:hAnsi="Verdana" w:cs="Calibri"/>
                <w:color w:val="000000"/>
                <w:sz w:val="20"/>
                <w:lang w:eastAsia="en-GB"/>
              </w:rPr>
            </w:pPr>
            <w:r w:rsidRPr="003D7583">
              <w:rPr>
                <w:rFonts w:ascii="Verdana" w:hAnsi="Verdana" w:cs="Calibri"/>
                <w:color w:val="000000"/>
                <w:sz w:val="20"/>
                <w:lang w:eastAsia="en-GB"/>
              </w:rPr>
              <w:t>25,000</w:t>
            </w:r>
          </w:p>
        </w:tc>
      </w:tr>
      <w:tr w:rsidRPr="003D7583" w:rsidR="00B111FF" w:rsidTr="00082DAE">
        <w:trPr>
          <w:trHeight w:val="300"/>
        </w:trPr>
        <w:tc>
          <w:tcPr>
            <w:tcW w:w="6460" w:type="dxa"/>
            <w:tcBorders>
              <w:top w:val="nil"/>
              <w:left w:val="nil"/>
              <w:bottom w:val="nil"/>
              <w:right w:val="nil"/>
            </w:tcBorders>
            <w:shd w:val="clear" w:color="000000" w:fill="F2F2F2"/>
            <w:vAlign w:val="center"/>
            <w:hideMark/>
          </w:tcPr>
          <w:p w:rsidRPr="003D7583" w:rsidR="00B111FF" w:rsidP="00832C85" w:rsidRDefault="00B111FF">
            <w:pPr>
              <w:overflowPunct/>
              <w:autoSpaceDE/>
              <w:autoSpaceDN/>
              <w:adjustRightInd/>
              <w:textAlignment w:val="auto"/>
              <w:rPr>
                <w:rFonts w:ascii="Verdana" w:hAnsi="Verdana" w:cs="Calibri"/>
                <w:color w:val="000000"/>
                <w:sz w:val="20"/>
                <w:lang w:eastAsia="en-GB"/>
              </w:rPr>
            </w:pPr>
            <w:r w:rsidRPr="003D7583">
              <w:rPr>
                <w:rFonts w:ascii="Verdana" w:hAnsi="Verdana" w:cs="Calibri"/>
                <w:color w:val="000000"/>
                <w:sz w:val="20"/>
                <w:lang w:eastAsia="en-GB"/>
              </w:rPr>
              <w:t>Depreciation</w:t>
            </w:r>
          </w:p>
        </w:tc>
        <w:tc>
          <w:tcPr>
            <w:tcW w:w="1500" w:type="dxa"/>
            <w:tcBorders>
              <w:top w:val="nil"/>
              <w:left w:val="nil"/>
              <w:bottom w:val="nil"/>
              <w:right w:val="nil"/>
            </w:tcBorders>
            <w:shd w:val="clear" w:color="000000" w:fill="F2F2F2"/>
            <w:noWrap/>
            <w:vAlign w:val="center"/>
            <w:hideMark/>
          </w:tcPr>
          <w:p w:rsidRPr="003D7583" w:rsidR="00B111FF" w:rsidP="00945337" w:rsidRDefault="00945337">
            <w:pPr>
              <w:overflowPunct/>
              <w:autoSpaceDE/>
              <w:autoSpaceDN/>
              <w:adjustRightInd/>
              <w:jc w:val="right"/>
              <w:textAlignment w:val="auto"/>
              <w:rPr>
                <w:rFonts w:ascii="Verdana" w:hAnsi="Verdana" w:cs="Calibri"/>
                <w:color w:val="000000"/>
                <w:sz w:val="20"/>
                <w:lang w:eastAsia="en-GB"/>
              </w:rPr>
            </w:pPr>
            <w:r>
              <w:rPr>
                <w:rFonts w:ascii="Verdana" w:hAnsi="Verdana" w:cs="Calibri"/>
                <w:color w:val="000000"/>
                <w:sz w:val="20"/>
                <w:lang w:eastAsia="en-GB"/>
              </w:rPr>
              <w:t>39</w:t>
            </w:r>
            <w:r w:rsidRPr="003D7583" w:rsidR="00B111FF">
              <w:rPr>
                <w:rFonts w:ascii="Verdana" w:hAnsi="Verdana" w:cs="Calibri"/>
                <w:color w:val="000000"/>
                <w:sz w:val="20"/>
                <w:lang w:eastAsia="en-GB"/>
              </w:rPr>
              <w:t>,</w:t>
            </w:r>
            <w:r>
              <w:rPr>
                <w:rFonts w:ascii="Verdana" w:hAnsi="Verdana" w:cs="Calibri"/>
                <w:color w:val="000000"/>
                <w:sz w:val="20"/>
                <w:lang w:eastAsia="en-GB"/>
              </w:rPr>
              <w:t>620</w:t>
            </w:r>
          </w:p>
        </w:tc>
        <w:tc>
          <w:tcPr>
            <w:tcW w:w="360" w:type="dxa"/>
            <w:tcBorders>
              <w:top w:val="nil"/>
              <w:left w:val="nil"/>
              <w:bottom w:val="nil"/>
              <w:right w:val="nil"/>
            </w:tcBorders>
            <w:shd w:val="clear" w:color="000000" w:fill="F2F2F2"/>
            <w:noWrap/>
            <w:vAlign w:val="bottom"/>
            <w:hideMark/>
          </w:tcPr>
          <w:p w:rsidRPr="003D7583" w:rsidR="00B111FF" w:rsidP="00832C85" w:rsidRDefault="00B111FF">
            <w:pPr>
              <w:overflowPunct/>
              <w:autoSpaceDE/>
              <w:autoSpaceDN/>
              <w:adjustRightInd/>
              <w:jc w:val="left"/>
              <w:textAlignment w:val="auto"/>
              <w:rPr>
                <w:rFonts w:ascii="Calibri" w:hAnsi="Calibri" w:cs="Calibri"/>
                <w:color w:val="000000"/>
                <w:sz w:val="20"/>
                <w:lang w:eastAsia="en-GB"/>
              </w:rPr>
            </w:pPr>
            <w:r w:rsidRPr="003D7583">
              <w:rPr>
                <w:rFonts w:ascii="Calibri" w:hAnsi="Calibri" w:cs="Calibri"/>
                <w:color w:val="000000"/>
                <w:sz w:val="20"/>
                <w:lang w:eastAsia="en-GB"/>
              </w:rPr>
              <w:t> </w:t>
            </w:r>
          </w:p>
        </w:tc>
        <w:tc>
          <w:tcPr>
            <w:tcW w:w="1500" w:type="dxa"/>
            <w:tcBorders>
              <w:top w:val="nil"/>
              <w:left w:val="nil"/>
              <w:bottom w:val="nil"/>
              <w:right w:val="nil"/>
            </w:tcBorders>
            <w:shd w:val="clear" w:color="000000" w:fill="F2F2F2"/>
            <w:vAlign w:val="center"/>
          </w:tcPr>
          <w:p w:rsidRPr="003D7583" w:rsidR="00B111FF" w:rsidP="003B0A24" w:rsidRDefault="00B111FF">
            <w:pPr>
              <w:overflowPunct/>
              <w:autoSpaceDE/>
              <w:autoSpaceDN/>
              <w:adjustRightInd/>
              <w:jc w:val="right"/>
              <w:textAlignment w:val="auto"/>
              <w:rPr>
                <w:rFonts w:ascii="Verdana" w:hAnsi="Verdana" w:cs="Calibri"/>
                <w:color w:val="000000"/>
                <w:sz w:val="20"/>
                <w:lang w:eastAsia="en-GB"/>
              </w:rPr>
            </w:pPr>
            <w:r w:rsidRPr="003D7583">
              <w:rPr>
                <w:rFonts w:ascii="Verdana" w:hAnsi="Verdana" w:cs="Calibri"/>
                <w:color w:val="000000"/>
                <w:sz w:val="20"/>
                <w:lang w:eastAsia="en-GB"/>
              </w:rPr>
              <w:t>41,21</w:t>
            </w:r>
            <w:r>
              <w:rPr>
                <w:rFonts w:ascii="Verdana" w:hAnsi="Verdana" w:cs="Calibri"/>
                <w:color w:val="000000"/>
                <w:sz w:val="20"/>
                <w:lang w:eastAsia="en-GB"/>
              </w:rPr>
              <w:t>0</w:t>
            </w:r>
          </w:p>
        </w:tc>
      </w:tr>
      <w:tr w:rsidRPr="008B41ED" w:rsidR="00B111FF" w:rsidTr="00082DAE">
        <w:trPr>
          <w:trHeight w:val="300"/>
        </w:trPr>
        <w:tc>
          <w:tcPr>
            <w:tcW w:w="6460" w:type="dxa"/>
            <w:tcBorders>
              <w:top w:val="nil"/>
              <w:left w:val="nil"/>
              <w:bottom w:val="nil"/>
              <w:right w:val="nil"/>
            </w:tcBorders>
            <w:shd w:val="clear" w:color="000000" w:fill="F2F2F2"/>
            <w:vAlign w:val="center"/>
            <w:hideMark/>
          </w:tcPr>
          <w:p w:rsidRPr="003D7583" w:rsidR="00B111FF" w:rsidP="00832C85" w:rsidRDefault="00B111FF">
            <w:pPr>
              <w:overflowPunct/>
              <w:autoSpaceDE/>
              <w:autoSpaceDN/>
              <w:adjustRightInd/>
              <w:jc w:val="left"/>
              <w:textAlignment w:val="auto"/>
              <w:rPr>
                <w:rFonts w:ascii="Verdana" w:hAnsi="Verdana" w:cs="Calibri"/>
                <w:color w:val="000000"/>
                <w:sz w:val="20"/>
                <w:lang w:eastAsia="en-GB"/>
              </w:rPr>
            </w:pPr>
            <w:r w:rsidRPr="003D7583">
              <w:rPr>
                <w:rFonts w:ascii="Verdana" w:hAnsi="Verdana" w:cs="Calibri"/>
                <w:color w:val="000000"/>
                <w:sz w:val="20"/>
                <w:lang w:eastAsia="en-GB"/>
              </w:rPr>
              <w:t>Gain/(Loss) on disposal of fixed assets</w:t>
            </w:r>
          </w:p>
        </w:tc>
        <w:tc>
          <w:tcPr>
            <w:tcW w:w="1500" w:type="dxa"/>
            <w:tcBorders>
              <w:top w:val="nil"/>
              <w:left w:val="nil"/>
              <w:bottom w:val="nil"/>
              <w:right w:val="nil"/>
            </w:tcBorders>
            <w:shd w:val="clear" w:color="000000" w:fill="F2F2F2"/>
            <w:noWrap/>
            <w:vAlign w:val="center"/>
            <w:hideMark/>
          </w:tcPr>
          <w:p w:rsidRPr="003D7583" w:rsidR="00B111FF" w:rsidP="00945337" w:rsidRDefault="00945337">
            <w:pPr>
              <w:overflowPunct/>
              <w:autoSpaceDE/>
              <w:autoSpaceDN/>
              <w:adjustRightInd/>
              <w:jc w:val="right"/>
              <w:textAlignment w:val="auto"/>
              <w:rPr>
                <w:rFonts w:ascii="Verdana" w:hAnsi="Verdana" w:cs="Calibri"/>
                <w:color w:val="000000"/>
                <w:sz w:val="20"/>
                <w:lang w:eastAsia="en-GB"/>
              </w:rPr>
            </w:pPr>
            <w:r>
              <w:rPr>
                <w:rFonts w:ascii="Verdana" w:hAnsi="Verdana" w:cs="Calibri"/>
                <w:color w:val="000000"/>
                <w:sz w:val="20"/>
                <w:lang w:eastAsia="en-GB"/>
              </w:rPr>
              <w:t>692</w:t>
            </w:r>
          </w:p>
        </w:tc>
        <w:tc>
          <w:tcPr>
            <w:tcW w:w="360" w:type="dxa"/>
            <w:tcBorders>
              <w:top w:val="nil"/>
              <w:left w:val="nil"/>
              <w:bottom w:val="nil"/>
              <w:right w:val="nil"/>
            </w:tcBorders>
            <w:shd w:val="clear" w:color="000000" w:fill="F2F2F2"/>
            <w:noWrap/>
            <w:vAlign w:val="bottom"/>
            <w:hideMark/>
          </w:tcPr>
          <w:p w:rsidRPr="003D7583" w:rsidR="00B111FF" w:rsidP="00832C85" w:rsidRDefault="00B111FF">
            <w:pPr>
              <w:overflowPunct/>
              <w:autoSpaceDE/>
              <w:autoSpaceDN/>
              <w:adjustRightInd/>
              <w:jc w:val="left"/>
              <w:textAlignment w:val="auto"/>
              <w:rPr>
                <w:rFonts w:ascii="Calibri" w:hAnsi="Calibri" w:cs="Calibri"/>
                <w:color w:val="000000"/>
                <w:sz w:val="20"/>
                <w:lang w:eastAsia="en-GB"/>
              </w:rPr>
            </w:pPr>
            <w:r w:rsidRPr="003D7583">
              <w:rPr>
                <w:rFonts w:ascii="Calibri" w:hAnsi="Calibri" w:cs="Calibri"/>
                <w:color w:val="000000"/>
                <w:sz w:val="20"/>
                <w:lang w:eastAsia="en-GB"/>
              </w:rPr>
              <w:t> </w:t>
            </w:r>
          </w:p>
        </w:tc>
        <w:tc>
          <w:tcPr>
            <w:tcW w:w="1500" w:type="dxa"/>
            <w:tcBorders>
              <w:top w:val="nil"/>
              <w:left w:val="nil"/>
              <w:bottom w:val="nil"/>
              <w:right w:val="nil"/>
            </w:tcBorders>
            <w:shd w:val="clear" w:color="000000" w:fill="F2F2F2"/>
            <w:vAlign w:val="center"/>
          </w:tcPr>
          <w:p w:rsidRPr="003D7583" w:rsidR="00B111FF" w:rsidP="003B0A24" w:rsidRDefault="00B111FF">
            <w:pPr>
              <w:overflowPunct/>
              <w:autoSpaceDE/>
              <w:autoSpaceDN/>
              <w:adjustRightInd/>
              <w:jc w:val="right"/>
              <w:textAlignment w:val="auto"/>
              <w:rPr>
                <w:rFonts w:ascii="Verdana" w:hAnsi="Verdana" w:cs="Calibri"/>
                <w:color w:val="000000"/>
                <w:sz w:val="20"/>
                <w:lang w:eastAsia="en-GB"/>
              </w:rPr>
            </w:pPr>
            <w:r>
              <w:rPr>
                <w:rFonts w:ascii="Verdana" w:hAnsi="Verdana" w:cs="Calibri"/>
                <w:color w:val="000000"/>
                <w:sz w:val="20"/>
                <w:lang w:eastAsia="en-GB"/>
              </w:rPr>
              <w:t>(1,298</w:t>
            </w:r>
            <w:r w:rsidRPr="003D7583">
              <w:rPr>
                <w:rFonts w:ascii="Verdana" w:hAnsi="Verdana" w:cs="Calibri"/>
                <w:color w:val="000000"/>
                <w:sz w:val="20"/>
                <w:lang w:eastAsia="en-GB"/>
              </w:rPr>
              <w:t>)</w:t>
            </w:r>
          </w:p>
        </w:tc>
      </w:tr>
      <w:tr w:rsidRPr="003D7583" w:rsidR="00B111FF" w:rsidTr="00AB32A6">
        <w:trPr>
          <w:trHeight w:val="300"/>
        </w:trPr>
        <w:tc>
          <w:tcPr>
            <w:tcW w:w="6460" w:type="dxa"/>
            <w:tcBorders>
              <w:top w:val="nil"/>
              <w:left w:val="nil"/>
              <w:bottom w:val="nil"/>
              <w:right w:val="nil"/>
            </w:tcBorders>
            <w:shd w:val="clear" w:color="000000" w:fill="F2F2F2"/>
            <w:vAlign w:val="center"/>
            <w:hideMark/>
          </w:tcPr>
          <w:p w:rsidRPr="003D7583" w:rsidR="00B111FF" w:rsidP="00D24232" w:rsidRDefault="00D24232">
            <w:pPr>
              <w:overflowPunct/>
              <w:autoSpaceDE/>
              <w:autoSpaceDN/>
              <w:adjustRightInd/>
              <w:jc w:val="left"/>
              <w:textAlignment w:val="auto"/>
              <w:rPr>
                <w:rFonts w:ascii="Verdana" w:hAnsi="Verdana" w:cs="Calibri"/>
                <w:color w:val="000000"/>
                <w:sz w:val="20"/>
                <w:lang w:eastAsia="en-GB"/>
              </w:rPr>
            </w:pPr>
            <w:r>
              <w:rPr>
                <w:rFonts w:ascii="Verdana" w:hAnsi="Verdana" w:cs="Calibri"/>
                <w:color w:val="000000"/>
                <w:sz w:val="20"/>
                <w:lang w:eastAsia="en-GB"/>
              </w:rPr>
              <w:t>Exceptional re</w:t>
            </w:r>
            <w:r w:rsidR="00B111FF">
              <w:rPr>
                <w:rFonts w:ascii="Verdana" w:hAnsi="Verdana" w:cs="Calibri"/>
                <w:color w:val="000000"/>
                <w:sz w:val="20"/>
                <w:lang w:eastAsia="en-GB"/>
              </w:rPr>
              <w:t xml:space="preserve">structuring </w:t>
            </w:r>
            <w:r w:rsidR="00945337">
              <w:rPr>
                <w:rFonts w:ascii="Verdana" w:hAnsi="Verdana" w:cs="Calibri"/>
                <w:color w:val="000000"/>
                <w:sz w:val="20"/>
                <w:lang w:eastAsia="en-GB"/>
              </w:rPr>
              <w:t>costs</w:t>
            </w:r>
          </w:p>
        </w:tc>
        <w:tc>
          <w:tcPr>
            <w:tcW w:w="1500" w:type="dxa"/>
            <w:tcBorders>
              <w:top w:val="nil"/>
              <w:left w:val="nil"/>
              <w:bottom w:val="nil"/>
              <w:right w:val="nil"/>
            </w:tcBorders>
            <w:shd w:val="clear" w:color="000000" w:fill="F2F2F2"/>
            <w:noWrap/>
            <w:vAlign w:val="center"/>
            <w:hideMark/>
          </w:tcPr>
          <w:p w:rsidRPr="003D7583" w:rsidR="00B111FF" w:rsidP="00670669" w:rsidRDefault="00B111FF">
            <w:pPr>
              <w:overflowPunct/>
              <w:autoSpaceDE/>
              <w:autoSpaceDN/>
              <w:adjustRightInd/>
              <w:jc w:val="right"/>
              <w:textAlignment w:val="auto"/>
              <w:rPr>
                <w:rFonts w:ascii="Verdana" w:hAnsi="Verdana" w:cs="Calibri"/>
                <w:color w:val="000000"/>
                <w:sz w:val="20"/>
                <w:lang w:eastAsia="en-GB"/>
              </w:rPr>
            </w:pPr>
          </w:p>
        </w:tc>
        <w:tc>
          <w:tcPr>
            <w:tcW w:w="360" w:type="dxa"/>
            <w:tcBorders>
              <w:top w:val="nil"/>
              <w:left w:val="nil"/>
              <w:bottom w:val="nil"/>
              <w:right w:val="nil"/>
            </w:tcBorders>
            <w:shd w:val="clear" w:color="000000" w:fill="F2F2F2"/>
            <w:noWrap/>
            <w:vAlign w:val="bottom"/>
            <w:hideMark/>
          </w:tcPr>
          <w:p w:rsidRPr="003D7583" w:rsidR="00B111FF" w:rsidP="00EA67D8" w:rsidRDefault="00B111FF">
            <w:pPr>
              <w:overflowPunct/>
              <w:autoSpaceDE/>
              <w:autoSpaceDN/>
              <w:adjustRightInd/>
              <w:jc w:val="left"/>
              <w:textAlignment w:val="auto"/>
              <w:rPr>
                <w:rFonts w:ascii="Calibri" w:hAnsi="Calibri" w:cs="Calibri"/>
                <w:color w:val="000000"/>
                <w:sz w:val="20"/>
                <w:lang w:eastAsia="en-GB"/>
              </w:rPr>
            </w:pPr>
            <w:r w:rsidRPr="003D7583">
              <w:rPr>
                <w:rFonts w:ascii="Calibri" w:hAnsi="Calibri" w:cs="Calibri"/>
                <w:color w:val="000000"/>
                <w:sz w:val="20"/>
                <w:lang w:eastAsia="en-GB"/>
              </w:rPr>
              <w:t> </w:t>
            </w:r>
          </w:p>
        </w:tc>
        <w:tc>
          <w:tcPr>
            <w:tcW w:w="1500" w:type="dxa"/>
            <w:tcBorders>
              <w:top w:val="nil"/>
              <w:left w:val="nil"/>
              <w:bottom w:val="nil"/>
              <w:right w:val="nil"/>
            </w:tcBorders>
            <w:shd w:val="clear" w:color="000000" w:fill="F2F2F2"/>
            <w:vAlign w:val="center"/>
          </w:tcPr>
          <w:p w:rsidRPr="003D7583" w:rsidR="00B111FF" w:rsidP="003B0A24" w:rsidRDefault="00B111FF">
            <w:pPr>
              <w:overflowPunct/>
              <w:autoSpaceDE/>
              <w:autoSpaceDN/>
              <w:adjustRightInd/>
              <w:jc w:val="right"/>
              <w:textAlignment w:val="auto"/>
              <w:rPr>
                <w:rFonts w:ascii="Verdana" w:hAnsi="Verdana" w:cs="Calibri"/>
                <w:color w:val="000000"/>
                <w:sz w:val="20"/>
                <w:lang w:eastAsia="en-GB"/>
              </w:rPr>
            </w:pPr>
            <w:r w:rsidRPr="003D7583">
              <w:rPr>
                <w:rFonts w:ascii="Verdana" w:hAnsi="Verdana" w:cs="Calibri"/>
                <w:color w:val="000000"/>
                <w:sz w:val="20"/>
                <w:lang w:eastAsia="en-GB"/>
              </w:rPr>
              <w:t>(</w:t>
            </w:r>
            <w:r>
              <w:rPr>
                <w:rFonts w:ascii="Verdana" w:hAnsi="Verdana" w:cs="Calibri"/>
                <w:color w:val="000000"/>
                <w:sz w:val="20"/>
                <w:lang w:eastAsia="en-GB"/>
              </w:rPr>
              <w:t>1,078</w:t>
            </w:r>
            <w:r w:rsidR="00D24232">
              <w:rPr>
                <w:rFonts w:ascii="Verdana" w:hAnsi="Verdana" w:cs="Calibri"/>
                <w:color w:val="000000"/>
                <w:sz w:val="20"/>
                <w:lang w:eastAsia="en-GB"/>
              </w:rPr>
              <w:t>,000</w:t>
            </w:r>
            <w:r w:rsidRPr="003D7583">
              <w:rPr>
                <w:rFonts w:ascii="Verdana" w:hAnsi="Verdana" w:cs="Calibri"/>
                <w:color w:val="000000"/>
                <w:sz w:val="20"/>
                <w:lang w:eastAsia="en-GB"/>
              </w:rPr>
              <w:t>)</w:t>
            </w:r>
          </w:p>
        </w:tc>
      </w:tr>
    </w:tbl>
    <w:p w:rsidRPr="008B41ED" w:rsidR="00862A94" w:rsidP="00E9305A" w:rsidRDefault="00862A94">
      <w:pPr>
        <w:pStyle w:val="Heading1"/>
        <w:numPr>
          <w:ilvl w:val="0"/>
          <w:numId w:val="0"/>
        </w:numPr>
        <w:tabs>
          <w:tab w:val="left" w:pos="-142"/>
        </w:tabs>
        <w:ind w:left="-142" w:firstLine="142"/>
        <w:rPr>
          <w:rFonts w:ascii="Arial" w:hAnsi="Arial" w:cs="Arial"/>
          <w:highlight w:val="yellow"/>
        </w:rPr>
      </w:pPr>
    </w:p>
    <w:p w:rsidRPr="003D7583" w:rsidR="00E9305A" w:rsidP="00E9305A" w:rsidRDefault="00E9305A">
      <w:pPr>
        <w:pStyle w:val="Heading1"/>
        <w:numPr>
          <w:ilvl w:val="0"/>
          <w:numId w:val="0"/>
        </w:numPr>
        <w:tabs>
          <w:tab w:val="left" w:pos="-142"/>
        </w:tabs>
        <w:ind w:left="-142" w:firstLine="142"/>
        <w:rPr>
          <w:rFonts w:ascii="Verdana" w:hAnsi="Verdana" w:cs="Arial"/>
        </w:rPr>
      </w:pPr>
      <w:r w:rsidRPr="003D7583">
        <w:rPr>
          <w:rFonts w:ascii="Arial" w:hAnsi="Arial" w:cs="Arial"/>
        </w:rPr>
        <w:t>4</w:t>
      </w:r>
      <w:r w:rsidRPr="003D7583">
        <w:rPr>
          <w:rFonts w:ascii="Verdana" w:hAnsi="Verdana" w:cs="Arial"/>
        </w:rPr>
        <w:t>. Remuneration of directors</w:t>
      </w:r>
    </w:p>
    <w:p w:rsidRPr="003D7583" w:rsidR="002E1220" w:rsidP="00E9305A" w:rsidRDefault="00E9305A">
      <w:pPr>
        <w:pStyle w:val="ACText"/>
        <w:rPr>
          <w:rFonts w:ascii="Verdana" w:hAnsi="Verdana" w:cs="Arial"/>
        </w:rPr>
      </w:pPr>
      <w:r w:rsidRPr="003D7583">
        <w:rPr>
          <w:rFonts w:ascii="Verdana" w:hAnsi="Verdana" w:cs="Arial"/>
        </w:rPr>
        <w:t>The Directors are defined as being members of Tower Hamlets Homes Limited Main Board. None of the Directors received any remuneration or taxable benefits, and none were members of the pension scheme.</w:t>
      </w:r>
    </w:p>
    <w:p w:rsidRPr="003D7583" w:rsidR="002E1220" w:rsidP="002E1220" w:rsidRDefault="002E1220"/>
    <w:p w:rsidRPr="003D7583" w:rsidR="00832C85" w:rsidP="00832C85" w:rsidRDefault="00832C85">
      <w:pPr>
        <w:pStyle w:val="Heading1"/>
        <w:numPr>
          <w:ilvl w:val="0"/>
          <w:numId w:val="0"/>
        </w:numPr>
        <w:rPr>
          <w:rFonts w:ascii="Arial" w:hAnsi="Arial" w:cs="Arial"/>
        </w:rPr>
      </w:pPr>
      <w:r w:rsidRPr="008B41ED">
        <w:rPr>
          <w:rFonts w:ascii="Arial" w:hAnsi="Arial" w:cs="Arial"/>
          <w:highlight w:val="yellow"/>
        </w:rPr>
        <w:br w:type="page"/>
      </w:r>
      <w:r w:rsidRPr="003D7583">
        <w:rPr>
          <w:rFonts w:ascii="Verdana" w:hAnsi="Verdana" w:cs="Arial"/>
          <w:sz w:val="26"/>
          <w:szCs w:val="26"/>
        </w:rPr>
        <w:t>Notes - continued</w:t>
      </w:r>
      <w:r w:rsidRPr="003D7583">
        <w:rPr>
          <w:rFonts w:ascii="Arial" w:hAnsi="Arial" w:cs="Arial"/>
        </w:rPr>
        <w:t xml:space="preserve"> </w:t>
      </w:r>
    </w:p>
    <w:p w:rsidRPr="003D7583" w:rsidR="00E9305A" w:rsidP="00E9305A" w:rsidRDefault="00E9305A">
      <w:pPr>
        <w:pStyle w:val="Heading1"/>
        <w:numPr>
          <w:ilvl w:val="0"/>
          <w:numId w:val="0"/>
        </w:numPr>
        <w:rPr>
          <w:rFonts w:ascii="Verdana" w:hAnsi="Verdana" w:cs="Arial"/>
        </w:rPr>
      </w:pPr>
      <w:r w:rsidRPr="003D7583">
        <w:rPr>
          <w:rFonts w:ascii="Arial" w:hAnsi="Arial" w:cs="Arial"/>
        </w:rPr>
        <w:t>5</w:t>
      </w:r>
      <w:r w:rsidRPr="003D7583">
        <w:rPr>
          <w:rFonts w:ascii="Verdana" w:hAnsi="Verdana" w:cs="Arial"/>
        </w:rPr>
        <w:t>. Staff numbers and costs</w:t>
      </w:r>
    </w:p>
    <w:p w:rsidRPr="003D7583" w:rsidR="001372EF" w:rsidP="001372EF" w:rsidRDefault="001372EF">
      <w:pPr>
        <w:pStyle w:val="ACText"/>
        <w:rPr>
          <w:rFonts w:ascii="Verdana" w:hAnsi="Verdana" w:cs="Arial"/>
        </w:rPr>
      </w:pPr>
      <w:r w:rsidRPr="003D7583">
        <w:rPr>
          <w:rFonts w:ascii="Verdana" w:hAnsi="Verdana" w:cs="Arial"/>
        </w:rPr>
        <w:t>The average number of full time equivalents employed by the Company during the period, analysed by service, was as follows:</w:t>
      </w:r>
    </w:p>
    <w:p w:rsidRPr="003D7583" w:rsidR="00D17947" w:rsidP="00AF4640" w:rsidRDefault="00D17947">
      <w:pPr>
        <w:rPr>
          <w:rFonts w:ascii="Verdana" w:hAnsi="Verdana" w:cs="Arial"/>
          <w:sz w:val="20"/>
          <w:lang w:eastAsia="en-GB"/>
        </w:rPr>
      </w:pPr>
    </w:p>
    <w:tbl>
      <w:tblPr>
        <w:tblW w:w="9639" w:type="dxa"/>
        <w:tblInd w:w="108" w:type="dxa"/>
        <w:tblLook w:val="04A0" w:firstRow="1" w:lastRow="0" w:firstColumn="1" w:lastColumn="0" w:noHBand="0" w:noVBand="1"/>
      </w:tblPr>
      <w:tblGrid>
        <w:gridCol w:w="6663"/>
        <w:gridCol w:w="1275"/>
        <w:gridCol w:w="426"/>
        <w:gridCol w:w="1275"/>
      </w:tblGrid>
      <w:tr w:rsidRPr="003D7583" w:rsidR="00842389" w:rsidTr="00842389">
        <w:trPr>
          <w:trHeight w:val="300"/>
        </w:trPr>
        <w:tc>
          <w:tcPr>
            <w:tcW w:w="6663" w:type="dxa"/>
            <w:tcBorders>
              <w:top w:val="nil"/>
              <w:left w:val="nil"/>
              <w:bottom w:val="nil"/>
              <w:right w:val="nil"/>
            </w:tcBorders>
            <w:shd w:val="clear" w:color="000000" w:fill="F2F2F2"/>
            <w:noWrap/>
            <w:vAlign w:val="bottom"/>
            <w:hideMark/>
          </w:tcPr>
          <w:p w:rsidRPr="003D7583" w:rsidR="00842389" w:rsidP="00842389" w:rsidRDefault="00842389">
            <w:pPr>
              <w:overflowPunct/>
              <w:autoSpaceDE/>
              <w:autoSpaceDN/>
              <w:adjustRightInd/>
              <w:jc w:val="left"/>
              <w:textAlignment w:val="auto"/>
              <w:rPr>
                <w:rFonts w:ascii="Verdana" w:hAnsi="Verdana" w:cs="Calibri"/>
                <w:b/>
                <w:bCs/>
                <w:color w:val="000000"/>
                <w:sz w:val="20"/>
                <w:lang w:eastAsia="en-GB"/>
              </w:rPr>
            </w:pPr>
            <w:r w:rsidRPr="003D7583">
              <w:rPr>
                <w:rFonts w:ascii="Verdana" w:hAnsi="Verdana" w:cs="Calibri"/>
                <w:b/>
                <w:bCs/>
                <w:color w:val="000000"/>
                <w:sz w:val="20"/>
                <w:lang w:eastAsia="en-GB"/>
              </w:rPr>
              <w:t>Directorate</w:t>
            </w:r>
          </w:p>
        </w:tc>
        <w:tc>
          <w:tcPr>
            <w:tcW w:w="1275" w:type="dxa"/>
            <w:tcBorders>
              <w:top w:val="nil"/>
              <w:left w:val="nil"/>
              <w:bottom w:val="nil"/>
              <w:right w:val="nil"/>
            </w:tcBorders>
            <w:shd w:val="clear" w:color="000000" w:fill="F2F2F2"/>
            <w:noWrap/>
            <w:vAlign w:val="bottom"/>
            <w:hideMark/>
          </w:tcPr>
          <w:p w:rsidRPr="003D7583" w:rsidR="00842389" w:rsidP="00C963B4" w:rsidRDefault="00842389">
            <w:pPr>
              <w:overflowPunct/>
              <w:autoSpaceDE/>
              <w:autoSpaceDN/>
              <w:adjustRightInd/>
              <w:jc w:val="right"/>
              <w:textAlignment w:val="auto"/>
              <w:rPr>
                <w:rFonts w:ascii="Verdana" w:hAnsi="Verdana" w:cs="Calibri"/>
                <w:b/>
                <w:bCs/>
                <w:color w:val="000000"/>
                <w:sz w:val="20"/>
                <w:lang w:eastAsia="en-GB"/>
              </w:rPr>
            </w:pPr>
            <w:r w:rsidRPr="003D7583">
              <w:rPr>
                <w:rFonts w:ascii="Verdana" w:hAnsi="Verdana" w:cs="Calibri"/>
                <w:b/>
                <w:bCs/>
                <w:color w:val="000000"/>
                <w:sz w:val="20"/>
                <w:lang w:eastAsia="en-GB"/>
              </w:rPr>
              <w:t>201</w:t>
            </w:r>
            <w:r w:rsidR="00C963B4">
              <w:rPr>
                <w:rFonts w:ascii="Verdana" w:hAnsi="Verdana" w:cs="Calibri"/>
                <w:b/>
                <w:bCs/>
                <w:color w:val="000000"/>
                <w:sz w:val="20"/>
                <w:lang w:eastAsia="en-GB"/>
              </w:rPr>
              <w:t>7</w:t>
            </w:r>
            <w:r w:rsidRPr="003D7583">
              <w:rPr>
                <w:rFonts w:ascii="Verdana" w:hAnsi="Verdana" w:cs="Calibri"/>
                <w:b/>
                <w:bCs/>
                <w:color w:val="000000"/>
                <w:sz w:val="20"/>
                <w:lang w:eastAsia="en-GB"/>
              </w:rPr>
              <w:t>-1</w:t>
            </w:r>
            <w:r w:rsidR="00C963B4">
              <w:rPr>
                <w:rFonts w:ascii="Verdana" w:hAnsi="Verdana" w:cs="Calibri"/>
                <w:b/>
                <w:bCs/>
                <w:color w:val="000000"/>
                <w:sz w:val="20"/>
                <w:lang w:eastAsia="en-GB"/>
              </w:rPr>
              <w:t>8</w:t>
            </w:r>
          </w:p>
        </w:tc>
        <w:tc>
          <w:tcPr>
            <w:tcW w:w="426" w:type="dxa"/>
            <w:tcBorders>
              <w:top w:val="nil"/>
              <w:left w:val="nil"/>
              <w:bottom w:val="nil"/>
              <w:right w:val="nil"/>
            </w:tcBorders>
            <w:shd w:val="clear" w:color="000000" w:fill="F2F2F2"/>
            <w:noWrap/>
            <w:vAlign w:val="bottom"/>
            <w:hideMark/>
          </w:tcPr>
          <w:p w:rsidRPr="003D7583" w:rsidR="00842389" w:rsidP="00842389" w:rsidRDefault="00842389">
            <w:pPr>
              <w:overflowPunct/>
              <w:autoSpaceDE/>
              <w:autoSpaceDN/>
              <w:adjustRightInd/>
              <w:jc w:val="right"/>
              <w:textAlignment w:val="auto"/>
              <w:rPr>
                <w:rFonts w:ascii="Verdana" w:hAnsi="Verdana" w:cs="Calibri"/>
                <w:b/>
                <w:bCs/>
                <w:color w:val="000000"/>
                <w:sz w:val="20"/>
                <w:lang w:eastAsia="en-GB"/>
              </w:rPr>
            </w:pPr>
            <w:r w:rsidRPr="003D7583">
              <w:rPr>
                <w:rFonts w:ascii="Verdana" w:hAnsi="Verdana" w:cs="Calibri"/>
                <w:b/>
                <w:bCs/>
                <w:color w:val="000000"/>
                <w:sz w:val="20"/>
                <w:lang w:eastAsia="en-GB"/>
              </w:rPr>
              <w:t> </w:t>
            </w:r>
          </w:p>
        </w:tc>
        <w:tc>
          <w:tcPr>
            <w:tcW w:w="1275" w:type="dxa"/>
            <w:tcBorders>
              <w:top w:val="nil"/>
              <w:left w:val="nil"/>
              <w:bottom w:val="nil"/>
              <w:right w:val="nil"/>
            </w:tcBorders>
            <w:shd w:val="clear" w:color="000000" w:fill="F2F2F2"/>
            <w:noWrap/>
            <w:vAlign w:val="bottom"/>
            <w:hideMark/>
          </w:tcPr>
          <w:p w:rsidRPr="003D7583" w:rsidR="00842389" w:rsidP="00C963B4" w:rsidRDefault="00842389">
            <w:pPr>
              <w:overflowPunct/>
              <w:autoSpaceDE/>
              <w:autoSpaceDN/>
              <w:adjustRightInd/>
              <w:jc w:val="right"/>
              <w:textAlignment w:val="auto"/>
              <w:rPr>
                <w:rFonts w:ascii="Verdana" w:hAnsi="Verdana" w:cs="Calibri"/>
                <w:b/>
                <w:bCs/>
                <w:color w:val="000000"/>
                <w:sz w:val="20"/>
                <w:lang w:eastAsia="en-GB"/>
              </w:rPr>
            </w:pPr>
            <w:r w:rsidRPr="003D7583">
              <w:rPr>
                <w:rFonts w:ascii="Verdana" w:hAnsi="Verdana" w:cs="Calibri"/>
                <w:b/>
                <w:bCs/>
                <w:color w:val="000000"/>
                <w:sz w:val="20"/>
                <w:lang w:eastAsia="en-GB"/>
              </w:rPr>
              <w:t>201</w:t>
            </w:r>
            <w:r w:rsidR="00C963B4">
              <w:rPr>
                <w:rFonts w:ascii="Verdana" w:hAnsi="Verdana" w:cs="Calibri"/>
                <w:b/>
                <w:bCs/>
                <w:color w:val="000000"/>
                <w:sz w:val="20"/>
                <w:lang w:eastAsia="en-GB"/>
              </w:rPr>
              <w:t>6</w:t>
            </w:r>
            <w:r w:rsidRPr="003D7583">
              <w:rPr>
                <w:rFonts w:ascii="Verdana" w:hAnsi="Verdana" w:cs="Calibri"/>
                <w:b/>
                <w:bCs/>
                <w:color w:val="000000"/>
                <w:sz w:val="20"/>
                <w:lang w:eastAsia="en-GB"/>
              </w:rPr>
              <w:t>-1</w:t>
            </w:r>
            <w:r w:rsidR="00C963B4">
              <w:rPr>
                <w:rFonts w:ascii="Verdana" w:hAnsi="Verdana" w:cs="Calibri"/>
                <w:b/>
                <w:bCs/>
                <w:color w:val="000000"/>
                <w:sz w:val="20"/>
                <w:lang w:eastAsia="en-GB"/>
              </w:rPr>
              <w:t>7</w:t>
            </w:r>
          </w:p>
        </w:tc>
      </w:tr>
      <w:tr w:rsidRPr="003D7583" w:rsidR="00842389" w:rsidTr="00842389">
        <w:trPr>
          <w:trHeight w:val="300"/>
        </w:trPr>
        <w:tc>
          <w:tcPr>
            <w:tcW w:w="6663" w:type="dxa"/>
            <w:tcBorders>
              <w:top w:val="nil"/>
              <w:left w:val="nil"/>
              <w:bottom w:val="nil"/>
              <w:right w:val="nil"/>
            </w:tcBorders>
            <w:shd w:val="clear" w:color="000000" w:fill="F2F2F2"/>
            <w:noWrap/>
            <w:vAlign w:val="bottom"/>
            <w:hideMark/>
          </w:tcPr>
          <w:p w:rsidRPr="003D7583" w:rsidR="00842389" w:rsidP="00842389" w:rsidRDefault="00842389">
            <w:pPr>
              <w:overflowPunct/>
              <w:autoSpaceDE/>
              <w:autoSpaceDN/>
              <w:adjustRightInd/>
              <w:jc w:val="left"/>
              <w:textAlignment w:val="auto"/>
              <w:rPr>
                <w:rFonts w:ascii="Verdana" w:hAnsi="Verdana" w:cs="Calibri"/>
                <w:color w:val="000000"/>
                <w:sz w:val="20"/>
                <w:lang w:eastAsia="en-GB"/>
              </w:rPr>
            </w:pPr>
            <w:r w:rsidRPr="003D7583">
              <w:rPr>
                <w:rFonts w:ascii="Verdana" w:hAnsi="Verdana" w:cs="Calibri"/>
                <w:color w:val="000000"/>
                <w:sz w:val="20"/>
                <w:lang w:eastAsia="en-GB"/>
              </w:rPr>
              <w:t>Asset Management</w:t>
            </w:r>
          </w:p>
        </w:tc>
        <w:tc>
          <w:tcPr>
            <w:tcW w:w="1275" w:type="dxa"/>
            <w:tcBorders>
              <w:top w:val="nil"/>
              <w:left w:val="nil"/>
              <w:bottom w:val="nil"/>
              <w:right w:val="nil"/>
            </w:tcBorders>
            <w:shd w:val="clear" w:color="000000" w:fill="F2F2F2"/>
            <w:noWrap/>
            <w:vAlign w:val="bottom"/>
            <w:hideMark/>
          </w:tcPr>
          <w:p w:rsidRPr="003D7583" w:rsidR="00842389" w:rsidP="00C963B4" w:rsidRDefault="00C963B4">
            <w:pPr>
              <w:overflowPunct/>
              <w:autoSpaceDE/>
              <w:autoSpaceDN/>
              <w:adjustRightInd/>
              <w:jc w:val="right"/>
              <w:textAlignment w:val="auto"/>
              <w:rPr>
                <w:rFonts w:ascii="Verdana" w:hAnsi="Verdana" w:cs="Calibri"/>
                <w:color w:val="000000"/>
                <w:sz w:val="20"/>
                <w:lang w:eastAsia="en-GB"/>
              </w:rPr>
            </w:pPr>
            <w:r>
              <w:rPr>
                <w:rFonts w:ascii="Verdana" w:hAnsi="Verdana" w:cs="Calibri"/>
                <w:color w:val="000000"/>
                <w:sz w:val="20"/>
                <w:lang w:eastAsia="en-GB"/>
              </w:rPr>
              <w:t>69</w:t>
            </w:r>
          </w:p>
        </w:tc>
        <w:tc>
          <w:tcPr>
            <w:tcW w:w="426" w:type="dxa"/>
            <w:tcBorders>
              <w:top w:val="nil"/>
              <w:left w:val="nil"/>
              <w:bottom w:val="nil"/>
              <w:right w:val="nil"/>
            </w:tcBorders>
            <w:shd w:val="clear" w:color="000000" w:fill="F2F2F2"/>
            <w:noWrap/>
            <w:vAlign w:val="bottom"/>
            <w:hideMark/>
          </w:tcPr>
          <w:p w:rsidRPr="003D7583" w:rsidR="00842389" w:rsidP="00842389" w:rsidRDefault="00842389">
            <w:pPr>
              <w:overflowPunct/>
              <w:autoSpaceDE/>
              <w:autoSpaceDN/>
              <w:adjustRightInd/>
              <w:jc w:val="left"/>
              <w:textAlignment w:val="auto"/>
              <w:rPr>
                <w:rFonts w:ascii="Verdana" w:hAnsi="Verdana" w:cs="Calibri"/>
                <w:color w:val="000000"/>
                <w:sz w:val="20"/>
                <w:lang w:eastAsia="en-GB"/>
              </w:rPr>
            </w:pPr>
            <w:r w:rsidRPr="003D7583">
              <w:rPr>
                <w:rFonts w:ascii="Verdana" w:hAnsi="Verdana" w:cs="Calibri"/>
                <w:color w:val="000000"/>
                <w:sz w:val="20"/>
                <w:lang w:eastAsia="en-GB"/>
              </w:rPr>
              <w:t> </w:t>
            </w:r>
          </w:p>
        </w:tc>
        <w:tc>
          <w:tcPr>
            <w:tcW w:w="1275" w:type="dxa"/>
            <w:tcBorders>
              <w:top w:val="nil"/>
              <w:left w:val="nil"/>
              <w:bottom w:val="nil"/>
              <w:right w:val="nil"/>
            </w:tcBorders>
            <w:shd w:val="clear" w:color="000000" w:fill="F2F2F2"/>
            <w:noWrap/>
            <w:vAlign w:val="bottom"/>
            <w:hideMark/>
          </w:tcPr>
          <w:p w:rsidRPr="003D7583" w:rsidR="00842389" w:rsidP="00AE0E5C" w:rsidRDefault="003D7583">
            <w:pPr>
              <w:overflowPunct/>
              <w:autoSpaceDE/>
              <w:autoSpaceDN/>
              <w:adjustRightInd/>
              <w:jc w:val="right"/>
              <w:textAlignment w:val="auto"/>
              <w:rPr>
                <w:rFonts w:ascii="Verdana" w:hAnsi="Verdana" w:cs="Calibri"/>
                <w:color w:val="000000"/>
                <w:sz w:val="20"/>
                <w:lang w:eastAsia="en-GB"/>
              </w:rPr>
            </w:pPr>
            <w:r w:rsidRPr="003D7583">
              <w:rPr>
                <w:rFonts w:ascii="Verdana" w:hAnsi="Verdana" w:cs="Calibri"/>
                <w:color w:val="000000"/>
                <w:sz w:val="20"/>
                <w:lang w:eastAsia="en-GB"/>
              </w:rPr>
              <w:t>7</w:t>
            </w:r>
            <w:r w:rsidR="00AE0E5C">
              <w:rPr>
                <w:rFonts w:ascii="Verdana" w:hAnsi="Verdana" w:cs="Calibri"/>
                <w:color w:val="000000"/>
                <w:sz w:val="20"/>
                <w:lang w:eastAsia="en-GB"/>
              </w:rPr>
              <w:t>3</w:t>
            </w:r>
          </w:p>
        </w:tc>
      </w:tr>
      <w:tr w:rsidRPr="003D7583" w:rsidR="00842389" w:rsidTr="00842389">
        <w:trPr>
          <w:trHeight w:val="300"/>
        </w:trPr>
        <w:tc>
          <w:tcPr>
            <w:tcW w:w="6663" w:type="dxa"/>
            <w:tcBorders>
              <w:top w:val="nil"/>
              <w:left w:val="nil"/>
              <w:bottom w:val="nil"/>
              <w:right w:val="nil"/>
            </w:tcBorders>
            <w:shd w:val="clear" w:color="000000" w:fill="F2F2F2"/>
            <w:noWrap/>
            <w:vAlign w:val="bottom"/>
            <w:hideMark/>
          </w:tcPr>
          <w:p w:rsidRPr="003D7583" w:rsidR="00842389" w:rsidP="00842389" w:rsidRDefault="00842389">
            <w:pPr>
              <w:overflowPunct/>
              <w:autoSpaceDE/>
              <w:autoSpaceDN/>
              <w:adjustRightInd/>
              <w:jc w:val="left"/>
              <w:textAlignment w:val="auto"/>
              <w:rPr>
                <w:rFonts w:ascii="Verdana" w:hAnsi="Verdana" w:cs="Calibri"/>
                <w:color w:val="000000"/>
                <w:sz w:val="20"/>
                <w:lang w:eastAsia="en-GB"/>
              </w:rPr>
            </w:pPr>
            <w:r w:rsidRPr="003D7583">
              <w:rPr>
                <w:rFonts w:ascii="Verdana" w:hAnsi="Verdana" w:cs="Calibri"/>
                <w:color w:val="000000"/>
                <w:sz w:val="20"/>
                <w:lang w:eastAsia="en-GB"/>
              </w:rPr>
              <w:t>Business Transformation</w:t>
            </w:r>
          </w:p>
        </w:tc>
        <w:tc>
          <w:tcPr>
            <w:tcW w:w="1275" w:type="dxa"/>
            <w:tcBorders>
              <w:top w:val="nil"/>
              <w:left w:val="nil"/>
              <w:bottom w:val="nil"/>
              <w:right w:val="nil"/>
            </w:tcBorders>
            <w:shd w:val="clear" w:color="000000" w:fill="F2F2F2"/>
            <w:noWrap/>
            <w:vAlign w:val="bottom"/>
            <w:hideMark/>
          </w:tcPr>
          <w:p w:rsidRPr="003D7583" w:rsidR="00842389" w:rsidP="00C963B4" w:rsidRDefault="00C963B4">
            <w:pPr>
              <w:overflowPunct/>
              <w:autoSpaceDE/>
              <w:autoSpaceDN/>
              <w:adjustRightInd/>
              <w:jc w:val="right"/>
              <w:textAlignment w:val="auto"/>
              <w:rPr>
                <w:rFonts w:ascii="Verdana" w:hAnsi="Verdana" w:cs="Calibri"/>
                <w:color w:val="000000"/>
                <w:sz w:val="20"/>
                <w:lang w:eastAsia="en-GB"/>
              </w:rPr>
            </w:pPr>
            <w:r>
              <w:rPr>
                <w:rFonts w:ascii="Verdana" w:hAnsi="Verdana" w:cs="Calibri"/>
                <w:color w:val="000000"/>
                <w:sz w:val="20"/>
                <w:lang w:eastAsia="en-GB"/>
              </w:rPr>
              <w:t>40</w:t>
            </w:r>
          </w:p>
        </w:tc>
        <w:tc>
          <w:tcPr>
            <w:tcW w:w="426" w:type="dxa"/>
            <w:tcBorders>
              <w:top w:val="nil"/>
              <w:left w:val="nil"/>
              <w:bottom w:val="nil"/>
              <w:right w:val="nil"/>
            </w:tcBorders>
            <w:shd w:val="clear" w:color="000000" w:fill="F2F2F2"/>
            <w:noWrap/>
            <w:vAlign w:val="bottom"/>
            <w:hideMark/>
          </w:tcPr>
          <w:p w:rsidRPr="003D7583" w:rsidR="00842389" w:rsidP="00842389" w:rsidRDefault="00842389">
            <w:pPr>
              <w:overflowPunct/>
              <w:autoSpaceDE/>
              <w:autoSpaceDN/>
              <w:adjustRightInd/>
              <w:jc w:val="left"/>
              <w:textAlignment w:val="auto"/>
              <w:rPr>
                <w:rFonts w:ascii="Verdana" w:hAnsi="Verdana" w:cs="Calibri"/>
                <w:color w:val="000000"/>
                <w:sz w:val="20"/>
                <w:lang w:eastAsia="en-GB"/>
              </w:rPr>
            </w:pPr>
            <w:r w:rsidRPr="003D7583">
              <w:rPr>
                <w:rFonts w:ascii="Verdana" w:hAnsi="Verdana" w:cs="Calibri"/>
                <w:color w:val="000000"/>
                <w:sz w:val="20"/>
                <w:lang w:eastAsia="en-GB"/>
              </w:rPr>
              <w:t> </w:t>
            </w:r>
          </w:p>
        </w:tc>
        <w:tc>
          <w:tcPr>
            <w:tcW w:w="1275" w:type="dxa"/>
            <w:tcBorders>
              <w:top w:val="nil"/>
              <w:left w:val="nil"/>
              <w:bottom w:val="nil"/>
              <w:right w:val="nil"/>
            </w:tcBorders>
            <w:shd w:val="clear" w:color="000000" w:fill="F2F2F2"/>
            <w:noWrap/>
            <w:vAlign w:val="bottom"/>
            <w:hideMark/>
          </w:tcPr>
          <w:p w:rsidRPr="003D7583" w:rsidR="00842389" w:rsidP="00AE0E5C" w:rsidRDefault="003D7583">
            <w:pPr>
              <w:overflowPunct/>
              <w:autoSpaceDE/>
              <w:autoSpaceDN/>
              <w:adjustRightInd/>
              <w:jc w:val="right"/>
              <w:textAlignment w:val="auto"/>
              <w:rPr>
                <w:rFonts w:ascii="Verdana" w:hAnsi="Verdana" w:cs="Calibri"/>
                <w:color w:val="000000"/>
                <w:sz w:val="20"/>
                <w:lang w:eastAsia="en-GB"/>
              </w:rPr>
            </w:pPr>
            <w:r w:rsidRPr="003D7583">
              <w:rPr>
                <w:rFonts w:ascii="Verdana" w:hAnsi="Verdana" w:cs="Calibri"/>
                <w:color w:val="000000"/>
                <w:sz w:val="20"/>
                <w:lang w:eastAsia="en-GB"/>
              </w:rPr>
              <w:t>2</w:t>
            </w:r>
            <w:r w:rsidR="00AE0E5C">
              <w:rPr>
                <w:rFonts w:ascii="Verdana" w:hAnsi="Verdana" w:cs="Calibri"/>
                <w:color w:val="000000"/>
                <w:sz w:val="20"/>
                <w:lang w:eastAsia="en-GB"/>
              </w:rPr>
              <w:t>4</w:t>
            </w:r>
          </w:p>
        </w:tc>
      </w:tr>
      <w:tr w:rsidRPr="003D7583" w:rsidR="00842389" w:rsidTr="00842389">
        <w:trPr>
          <w:trHeight w:val="300"/>
        </w:trPr>
        <w:tc>
          <w:tcPr>
            <w:tcW w:w="6663" w:type="dxa"/>
            <w:tcBorders>
              <w:top w:val="nil"/>
              <w:left w:val="nil"/>
              <w:bottom w:val="nil"/>
              <w:right w:val="nil"/>
            </w:tcBorders>
            <w:shd w:val="clear" w:color="000000" w:fill="F2F2F2"/>
            <w:noWrap/>
            <w:vAlign w:val="bottom"/>
            <w:hideMark/>
          </w:tcPr>
          <w:p w:rsidRPr="003D7583" w:rsidR="00842389" w:rsidP="00842389" w:rsidRDefault="00842389">
            <w:pPr>
              <w:overflowPunct/>
              <w:autoSpaceDE/>
              <w:autoSpaceDN/>
              <w:adjustRightInd/>
              <w:jc w:val="left"/>
              <w:textAlignment w:val="auto"/>
              <w:rPr>
                <w:rFonts w:ascii="Verdana" w:hAnsi="Verdana" w:cs="Calibri"/>
                <w:color w:val="000000"/>
                <w:sz w:val="20"/>
                <w:lang w:eastAsia="en-GB"/>
              </w:rPr>
            </w:pPr>
            <w:r w:rsidRPr="003D7583">
              <w:rPr>
                <w:rFonts w:ascii="Verdana" w:hAnsi="Verdana" w:cs="Calibri"/>
                <w:color w:val="000000"/>
                <w:sz w:val="20"/>
                <w:lang w:eastAsia="en-GB"/>
              </w:rPr>
              <w:t>Chief Executive</w:t>
            </w:r>
          </w:p>
        </w:tc>
        <w:tc>
          <w:tcPr>
            <w:tcW w:w="1275" w:type="dxa"/>
            <w:tcBorders>
              <w:top w:val="nil"/>
              <w:left w:val="nil"/>
              <w:bottom w:val="nil"/>
              <w:right w:val="nil"/>
            </w:tcBorders>
            <w:shd w:val="clear" w:color="000000" w:fill="F2F2F2"/>
            <w:noWrap/>
            <w:vAlign w:val="bottom"/>
            <w:hideMark/>
          </w:tcPr>
          <w:p w:rsidRPr="003D7583" w:rsidR="00842389" w:rsidP="00842389" w:rsidRDefault="00C963B4">
            <w:pPr>
              <w:overflowPunct/>
              <w:autoSpaceDE/>
              <w:autoSpaceDN/>
              <w:adjustRightInd/>
              <w:jc w:val="right"/>
              <w:textAlignment w:val="auto"/>
              <w:rPr>
                <w:rFonts w:ascii="Verdana" w:hAnsi="Verdana" w:cs="Calibri"/>
                <w:color w:val="000000"/>
                <w:sz w:val="20"/>
                <w:lang w:eastAsia="en-GB"/>
              </w:rPr>
            </w:pPr>
            <w:r>
              <w:rPr>
                <w:rFonts w:ascii="Verdana" w:hAnsi="Verdana" w:cs="Calibri"/>
                <w:color w:val="000000"/>
                <w:sz w:val="20"/>
                <w:lang w:eastAsia="en-GB"/>
              </w:rPr>
              <w:t>2</w:t>
            </w:r>
          </w:p>
        </w:tc>
        <w:tc>
          <w:tcPr>
            <w:tcW w:w="426" w:type="dxa"/>
            <w:tcBorders>
              <w:top w:val="nil"/>
              <w:left w:val="nil"/>
              <w:bottom w:val="nil"/>
              <w:right w:val="nil"/>
            </w:tcBorders>
            <w:shd w:val="clear" w:color="000000" w:fill="F2F2F2"/>
            <w:noWrap/>
            <w:vAlign w:val="bottom"/>
            <w:hideMark/>
          </w:tcPr>
          <w:p w:rsidRPr="003D7583" w:rsidR="00842389" w:rsidP="00842389" w:rsidRDefault="00842389">
            <w:pPr>
              <w:overflowPunct/>
              <w:autoSpaceDE/>
              <w:autoSpaceDN/>
              <w:adjustRightInd/>
              <w:jc w:val="left"/>
              <w:textAlignment w:val="auto"/>
              <w:rPr>
                <w:rFonts w:ascii="Verdana" w:hAnsi="Verdana" w:cs="Calibri"/>
                <w:color w:val="000000"/>
                <w:sz w:val="20"/>
                <w:lang w:eastAsia="en-GB"/>
              </w:rPr>
            </w:pPr>
            <w:r w:rsidRPr="003D7583">
              <w:rPr>
                <w:rFonts w:ascii="Verdana" w:hAnsi="Verdana" w:cs="Calibri"/>
                <w:color w:val="000000"/>
                <w:sz w:val="20"/>
                <w:lang w:eastAsia="en-GB"/>
              </w:rPr>
              <w:t> </w:t>
            </w:r>
          </w:p>
        </w:tc>
        <w:tc>
          <w:tcPr>
            <w:tcW w:w="1275" w:type="dxa"/>
            <w:tcBorders>
              <w:top w:val="nil"/>
              <w:left w:val="nil"/>
              <w:bottom w:val="nil"/>
              <w:right w:val="nil"/>
            </w:tcBorders>
            <w:shd w:val="clear" w:color="000000" w:fill="F2F2F2"/>
            <w:noWrap/>
            <w:vAlign w:val="bottom"/>
            <w:hideMark/>
          </w:tcPr>
          <w:p w:rsidRPr="003D7583" w:rsidR="00842389" w:rsidP="00842389" w:rsidRDefault="003D7583">
            <w:pPr>
              <w:overflowPunct/>
              <w:autoSpaceDE/>
              <w:autoSpaceDN/>
              <w:adjustRightInd/>
              <w:jc w:val="right"/>
              <w:textAlignment w:val="auto"/>
              <w:rPr>
                <w:rFonts w:ascii="Verdana" w:hAnsi="Verdana" w:cs="Calibri"/>
                <w:color w:val="000000"/>
                <w:sz w:val="20"/>
                <w:lang w:eastAsia="en-GB"/>
              </w:rPr>
            </w:pPr>
            <w:r w:rsidRPr="003D7583">
              <w:rPr>
                <w:rFonts w:ascii="Verdana" w:hAnsi="Verdana" w:cs="Calibri"/>
                <w:color w:val="000000"/>
                <w:sz w:val="20"/>
                <w:lang w:eastAsia="en-GB"/>
              </w:rPr>
              <w:t>3</w:t>
            </w:r>
          </w:p>
        </w:tc>
      </w:tr>
      <w:tr w:rsidRPr="003D7583" w:rsidR="00842389" w:rsidTr="00842389">
        <w:trPr>
          <w:trHeight w:val="300"/>
        </w:trPr>
        <w:tc>
          <w:tcPr>
            <w:tcW w:w="6663" w:type="dxa"/>
            <w:tcBorders>
              <w:top w:val="nil"/>
              <w:left w:val="nil"/>
              <w:bottom w:val="nil"/>
              <w:right w:val="nil"/>
            </w:tcBorders>
            <w:shd w:val="clear" w:color="000000" w:fill="F2F2F2"/>
            <w:noWrap/>
            <w:vAlign w:val="bottom"/>
            <w:hideMark/>
          </w:tcPr>
          <w:p w:rsidRPr="003D7583" w:rsidR="00842389" w:rsidP="00842389" w:rsidRDefault="00842389">
            <w:pPr>
              <w:overflowPunct/>
              <w:autoSpaceDE/>
              <w:autoSpaceDN/>
              <w:adjustRightInd/>
              <w:jc w:val="left"/>
              <w:textAlignment w:val="auto"/>
              <w:rPr>
                <w:rFonts w:ascii="Verdana" w:hAnsi="Verdana" w:cs="Calibri"/>
                <w:color w:val="000000"/>
                <w:sz w:val="20"/>
                <w:lang w:eastAsia="en-GB"/>
              </w:rPr>
            </w:pPr>
            <w:r w:rsidRPr="003D7583">
              <w:rPr>
                <w:rFonts w:ascii="Verdana" w:hAnsi="Verdana" w:cs="Calibri"/>
                <w:color w:val="000000"/>
                <w:sz w:val="20"/>
                <w:lang w:eastAsia="en-GB"/>
              </w:rPr>
              <w:t>Finance</w:t>
            </w:r>
          </w:p>
        </w:tc>
        <w:tc>
          <w:tcPr>
            <w:tcW w:w="1275" w:type="dxa"/>
            <w:tcBorders>
              <w:top w:val="nil"/>
              <w:left w:val="nil"/>
              <w:bottom w:val="nil"/>
              <w:right w:val="nil"/>
            </w:tcBorders>
            <w:shd w:val="clear" w:color="000000" w:fill="F2F2F2"/>
            <w:noWrap/>
            <w:vAlign w:val="bottom"/>
            <w:hideMark/>
          </w:tcPr>
          <w:p w:rsidRPr="003D7583" w:rsidR="00842389" w:rsidP="00C963B4" w:rsidRDefault="00C963B4">
            <w:pPr>
              <w:overflowPunct/>
              <w:autoSpaceDE/>
              <w:autoSpaceDN/>
              <w:adjustRightInd/>
              <w:jc w:val="right"/>
              <w:textAlignment w:val="auto"/>
              <w:rPr>
                <w:rFonts w:ascii="Verdana" w:hAnsi="Verdana" w:cs="Calibri"/>
                <w:color w:val="000000"/>
                <w:sz w:val="20"/>
                <w:lang w:eastAsia="en-GB"/>
              </w:rPr>
            </w:pPr>
            <w:r>
              <w:rPr>
                <w:rFonts w:ascii="Verdana" w:hAnsi="Verdana" w:cs="Calibri"/>
                <w:color w:val="000000"/>
                <w:sz w:val="20"/>
                <w:lang w:eastAsia="en-GB"/>
              </w:rPr>
              <w:t>11</w:t>
            </w:r>
          </w:p>
        </w:tc>
        <w:tc>
          <w:tcPr>
            <w:tcW w:w="426" w:type="dxa"/>
            <w:tcBorders>
              <w:top w:val="nil"/>
              <w:left w:val="nil"/>
              <w:bottom w:val="nil"/>
              <w:right w:val="nil"/>
            </w:tcBorders>
            <w:shd w:val="clear" w:color="000000" w:fill="F2F2F2"/>
            <w:noWrap/>
            <w:vAlign w:val="bottom"/>
            <w:hideMark/>
          </w:tcPr>
          <w:p w:rsidRPr="003D7583" w:rsidR="00842389" w:rsidP="00842389" w:rsidRDefault="00842389">
            <w:pPr>
              <w:overflowPunct/>
              <w:autoSpaceDE/>
              <w:autoSpaceDN/>
              <w:adjustRightInd/>
              <w:jc w:val="left"/>
              <w:textAlignment w:val="auto"/>
              <w:rPr>
                <w:rFonts w:ascii="Verdana" w:hAnsi="Verdana" w:cs="Calibri"/>
                <w:color w:val="000000"/>
                <w:sz w:val="20"/>
                <w:lang w:eastAsia="en-GB"/>
              </w:rPr>
            </w:pPr>
            <w:r w:rsidRPr="003D7583">
              <w:rPr>
                <w:rFonts w:ascii="Verdana" w:hAnsi="Verdana" w:cs="Calibri"/>
                <w:color w:val="000000"/>
                <w:sz w:val="20"/>
                <w:lang w:eastAsia="en-GB"/>
              </w:rPr>
              <w:t> </w:t>
            </w:r>
          </w:p>
        </w:tc>
        <w:tc>
          <w:tcPr>
            <w:tcW w:w="1275" w:type="dxa"/>
            <w:tcBorders>
              <w:top w:val="nil"/>
              <w:left w:val="nil"/>
              <w:bottom w:val="nil"/>
              <w:right w:val="nil"/>
            </w:tcBorders>
            <w:shd w:val="clear" w:color="000000" w:fill="F2F2F2"/>
            <w:noWrap/>
            <w:vAlign w:val="bottom"/>
            <w:hideMark/>
          </w:tcPr>
          <w:p w:rsidRPr="003D7583" w:rsidR="00842389" w:rsidP="00AE0E5C" w:rsidRDefault="003D7583">
            <w:pPr>
              <w:overflowPunct/>
              <w:autoSpaceDE/>
              <w:autoSpaceDN/>
              <w:adjustRightInd/>
              <w:jc w:val="right"/>
              <w:textAlignment w:val="auto"/>
              <w:rPr>
                <w:rFonts w:ascii="Verdana" w:hAnsi="Verdana" w:cs="Calibri"/>
                <w:color w:val="000000"/>
                <w:sz w:val="20"/>
                <w:lang w:eastAsia="en-GB"/>
              </w:rPr>
            </w:pPr>
            <w:r w:rsidRPr="003D7583">
              <w:rPr>
                <w:rFonts w:ascii="Verdana" w:hAnsi="Verdana" w:cs="Calibri"/>
                <w:color w:val="000000"/>
                <w:sz w:val="20"/>
                <w:lang w:eastAsia="en-GB"/>
              </w:rPr>
              <w:t>2</w:t>
            </w:r>
            <w:r w:rsidR="00AE0E5C">
              <w:rPr>
                <w:rFonts w:ascii="Verdana" w:hAnsi="Verdana" w:cs="Calibri"/>
                <w:color w:val="000000"/>
                <w:sz w:val="20"/>
                <w:lang w:eastAsia="en-GB"/>
              </w:rPr>
              <w:t>0</w:t>
            </w:r>
          </w:p>
        </w:tc>
      </w:tr>
      <w:tr w:rsidRPr="003D7583" w:rsidR="00842389" w:rsidTr="00842389">
        <w:trPr>
          <w:trHeight w:val="300"/>
        </w:trPr>
        <w:tc>
          <w:tcPr>
            <w:tcW w:w="6663" w:type="dxa"/>
            <w:tcBorders>
              <w:top w:val="nil"/>
              <w:left w:val="nil"/>
              <w:bottom w:val="nil"/>
              <w:right w:val="nil"/>
            </w:tcBorders>
            <w:shd w:val="clear" w:color="000000" w:fill="F2F2F2"/>
            <w:noWrap/>
            <w:vAlign w:val="bottom"/>
            <w:hideMark/>
          </w:tcPr>
          <w:p w:rsidRPr="003D7583" w:rsidR="00842389" w:rsidP="00842389" w:rsidRDefault="00842389">
            <w:pPr>
              <w:overflowPunct/>
              <w:autoSpaceDE/>
              <w:autoSpaceDN/>
              <w:adjustRightInd/>
              <w:jc w:val="left"/>
              <w:textAlignment w:val="auto"/>
              <w:rPr>
                <w:rFonts w:ascii="Verdana" w:hAnsi="Verdana" w:cs="Calibri"/>
                <w:color w:val="000000"/>
                <w:sz w:val="20"/>
                <w:lang w:eastAsia="en-GB"/>
              </w:rPr>
            </w:pPr>
            <w:r w:rsidRPr="003D7583">
              <w:rPr>
                <w:rFonts w:ascii="Verdana" w:hAnsi="Verdana" w:cs="Calibri"/>
                <w:color w:val="000000"/>
                <w:sz w:val="20"/>
                <w:lang w:eastAsia="en-GB"/>
              </w:rPr>
              <w:t>Neighbourhoods</w:t>
            </w:r>
          </w:p>
        </w:tc>
        <w:tc>
          <w:tcPr>
            <w:tcW w:w="1275" w:type="dxa"/>
            <w:tcBorders>
              <w:top w:val="nil"/>
              <w:left w:val="nil"/>
              <w:bottom w:val="nil"/>
              <w:right w:val="nil"/>
            </w:tcBorders>
            <w:shd w:val="clear" w:color="000000" w:fill="F2F2F2"/>
            <w:noWrap/>
            <w:vAlign w:val="bottom"/>
            <w:hideMark/>
          </w:tcPr>
          <w:p w:rsidRPr="003D7583" w:rsidR="00842389" w:rsidP="00C963B4" w:rsidRDefault="00842389">
            <w:pPr>
              <w:overflowPunct/>
              <w:autoSpaceDE/>
              <w:autoSpaceDN/>
              <w:adjustRightInd/>
              <w:jc w:val="right"/>
              <w:textAlignment w:val="auto"/>
              <w:rPr>
                <w:rFonts w:ascii="Verdana" w:hAnsi="Verdana" w:cs="Calibri"/>
                <w:color w:val="000000"/>
                <w:sz w:val="20"/>
                <w:lang w:eastAsia="en-GB"/>
              </w:rPr>
            </w:pPr>
            <w:r w:rsidRPr="003D7583">
              <w:rPr>
                <w:rFonts w:ascii="Verdana" w:hAnsi="Verdana" w:cs="Calibri"/>
                <w:color w:val="000000"/>
                <w:sz w:val="20"/>
                <w:lang w:eastAsia="en-GB"/>
              </w:rPr>
              <w:t>3</w:t>
            </w:r>
            <w:r w:rsidR="001815D2">
              <w:rPr>
                <w:rFonts w:ascii="Verdana" w:hAnsi="Verdana" w:cs="Calibri"/>
                <w:color w:val="000000"/>
                <w:sz w:val="20"/>
                <w:lang w:eastAsia="en-GB"/>
              </w:rPr>
              <w:t>3</w:t>
            </w:r>
            <w:r w:rsidR="00C963B4">
              <w:rPr>
                <w:rFonts w:ascii="Verdana" w:hAnsi="Verdana" w:cs="Calibri"/>
                <w:color w:val="000000"/>
                <w:sz w:val="20"/>
                <w:lang w:eastAsia="en-GB"/>
              </w:rPr>
              <w:t>1</w:t>
            </w:r>
          </w:p>
        </w:tc>
        <w:tc>
          <w:tcPr>
            <w:tcW w:w="426" w:type="dxa"/>
            <w:tcBorders>
              <w:top w:val="nil"/>
              <w:left w:val="nil"/>
              <w:bottom w:val="nil"/>
              <w:right w:val="nil"/>
            </w:tcBorders>
            <w:shd w:val="clear" w:color="000000" w:fill="F2F2F2"/>
            <w:noWrap/>
            <w:vAlign w:val="bottom"/>
            <w:hideMark/>
          </w:tcPr>
          <w:p w:rsidRPr="003D7583" w:rsidR="00842389" w:rsidP="00842389" w:rsidRDefault="00842389">
            <w:pPr>
              <w:overflowPunct/>
              <w:autoSpaceDE/>
              <w:autoSpaceDN/>
              <w:adjustRightInd/>
              <w:jc w:val="left"/>
              <w:textAlignment w:val="auto"/>
              <w:rPr>
                <w:rFonts w:ascii="Verdana" w:hAnsi="Verdana" w:cs="Calibri"/>
                <w:color w:val="000000"/>
                <w:sz w:val="20"/>
                <w:lang w:eastAsia="en-GB"/>
              </w:rPr>
            </w:pPr>
            <w:r w:rsidRPr="003D7583">
              <w:rPr>
                <w:rFonts w:ascii="Verdana" w:hAnsi="Verdana" w:cs="Calibri"/>
                <w:color w:val="000000"/>
                <w:sz w:val="20"/>
                <w:lang w:eastAsia="en-GB"/>
              </w:rPr>
              <w:t> </w:t>
            </w:r>
          </w:p>
        </w:tc>
        <w:tc>
          <w:tcPr>
            <w:tcW w:w="1275" w:type="dxa"/>
            <w:tcBorders>
              <w:top w:val="nil"/>
              <w:left w:val="nil"/>
              <w:bottom w:val="nil"/>
              <w:right w:val="nil"/>
            </w:tcBorders>
            <w:shd w:val="clear" w:color="000000" w:fill="F2F2F2"/>
            <w:noWrap/>
            <w:vAlign w:val="bottom"/>
            <w:hideMark/>
          </w:tcPr>
          <w:p w:rsidRPr="003D7583" w:rsidR="00842389" w:rsidP="00AE0E5C" w:rsidRDefault="003D7583">
            <w:pPr>
              <w:overflowPunct/>
              <w:autoSpaceDE/>
              <w:autoSpaceDN/>
              <w:adjustRightInd/>
              <w:jc w:val="right"/>
              <w:textAlignment w:val="auto"/>
              <w:rPr>
                <w:rFonts w:ascii="Verdana" w:hAnsi="Verdana" w:cs="Calibri"/>
                <w:color w:val="000000"/>
                <w:sz w:val="20"/>
                <w:lang w:eastAsia="en-GB"/>
              </w:rPr>
            </w:pPr>
            <w:r w:rsidRPr="003D7583">
              <w:rPr>
                <w:rFonts w:ascii="Verdana" w:hAnsi="Verdana" w:cs="Calibri"/>
                <w:color w:val="000000"/>
                <w:sz w:val="20"/>
                <w:lang w:eastAsia="en-GB"/>
              </w:rPr>
              <w:t>3</w:t>
            </w:r>
            <w:r w:rsidR="00AE0E5C">
              <w:rPr>
                <w:rFonts w:ascii="Verdana" w:hAnsi="Verdana" w:cs="Calibri"/>
                <w:color w:val="000000"/>
                <w:sz w:val="20"/>
                <w:lang w:eastAsia="en-GB"/>
              </w:rPr>
              <w:t>36</w:t>
            </w:r>
          </w:p>
        </w:tc>
      </w:tr>
      <w:tr w:rsidRPr="008B41ED" w:rsidR="00842389" w:rsidTr="00842389">
        <w:trPr>
          <w:trHeight w:val="300"/>
        </w:trPr>
        <w:tc>
          <w:tcPr>
            <w:tcW w:w="6663" w:type="dxa"/>
            <w:tcBorders>
              <w:top w:val="nil"/>
              <w:left w:val="nil"/>
              <w:bottom w:val="nil"/>
              <w:right w:val="nil"/>
            </w:tcBorders>
            <w:shd w:val="clear" w:color="000000" w:fill="F2F2F2"/>
            <w:noWrap/>
            <w:vAlign w:val="bottom"/>
            <w:hideMark/>
          </w:tcPr>
          <w:p w:rsidRPr="003D7583" w:rsidR="00842389" w:rsidP="00842389" w:rsidRDefault="00842389">
            <w:pPr>
              <w:overflowPunct/>
              <w:autoSpaceDE/>
              <w:autoSpaceDN/>
              <w:adjustRightInd/>
              <w:jc w:val="left"/>
              <w:textAlignment w:val="auto"/>
              <w:rPr>
                <w:rFonts w:ascii="Verdana" w:hAnsi="Verdana" w:cs="Calibri"/>
                <w:color w:val="000000"/>
                <w:sz w:val="20"/>
                <w:lang w:eastAsia="en-GB"/>
              </w:rPr>
            </w:pPr>
            <w:r w:rsidRPr="003D7583">
              <w:rPr>
                <w:rFonts w:ascii="Verdana" w:hAnsi="Verdana" w:cs="Calibri"/>
                <w:color w:val="000000"/>
                <w:sz w:val="20"/>
                <w:lang w:eastAsia="en-GB"/>
              </w:rPr>
              <w:t> </w:t>
            </w:r>
          </w:p>
        </w:tc>
        <w:tc>
          <w:tcPr>
            <w:tcW w:w="1275" w:type="dxa"/>
            <w:tcBorders>
              <w:top w:val="single" w:color="auto" w:sz="4" w:space="0"/>
              <w:left w:val="nil"/>
              <w:bottom w:val="single" w:color="auto" w:sz="4" w:space="0"/>
              <w:right w:val="nil"/>
            </w:tcBorders>
            <w:shd w:val="clear" w:color="000000" w:fill="F2F2F2"/>
            <w:noWrap/>
            <w:vAlign w:val="bottom"/>
            <w:hideMark/>
          </w:tcPr>
          <w:p w:rsidRPr="003D7583" w:rsidR="00842389" w:rsidP="00C963B4" w:rsidRDefault="003D7583">
            <w:pPr>
              <w:overflowPunct/>
              <w:autoSpaceDE/>
              <w:autoSpaceDN/>
              <w:adjustRightInd/>
              <w:jc w:val="right"/>
              <w:textAlignment w:val="auto"/>
              <w:rPr>
                <w:rFonts w:ascii="Verdana" w:hAnsi="Verdana" w:cs="Calibri"/>
                <w:b/>
                <w:color w:val="000000"/>
                <w:sz w:val="20"/>
                <w:lang w:eastAsia="en-GB"/>
              </w:rPr>
            </w:pPr>
            <w:r w:rsidRPr="003D7583">
              <w:rPr>
                <w:rFonts w:ascii="Verdana" w:hAnsi="Verdana" w:cs="Calibri"/>
                <w:b/>
                <w:color w:val="000000"/>
                <w:sz w:val="20"/>
                <w:lang w:eastAsia="en-GB"/>
              </w:rPr>
              <w:t>4</w:t>
            </w:r>
            <w:r w:rsidR="00C963B4">
              <w:rPr>
                <w:rFonts w:ascii="Verdana" w:hAnsi="Verdana" w:cs="Calibri"/>
                <w:b/>
                <w:color w:val="000000"/>
                <w:sz w:val="20"/>
                <w:lang w:eastAsia="en-GB"/>
              </w:rPr>
              <w:t>53</w:t>
            </w:r>
          </w:p>
        </w:tc>
        <w:tc>
          <w:tcPr>
            <w:tcW w:w="426" w:type="dxa"/>
            <w:tcBorders>
              <w:top w:val="nil"/>
              <w:left w:val="nil"/>
              <w:bottom w:val="nil"/>
              <w:right w:val="nil"/>
            </w:tcBorders>
            <w:shd w:val="clear" w:color="000000" w:fill="F2F2F2"/>
            <w:noWrap/>
            <w:vAlign w:val="bottom"/>
            <w:hideMark/>
          </w:tcPr>
          <w:p w:rsidRPr="003D7583" w:rsidR="00842389" w:rsidP="00842389" w:rsidRDefault="00842389">
            <w:pPr>
              <w:overflowPunct/>
              <w:autoSpaceDE/>
              <w:autoSpaceDN/>
              <w:adjustRightInd/>
              <w:jc w:val="left"/>
              <w:textAlignment w:val="auto"/>
              <w:rPr>
                <w:rFonts w:ascii="Verdana" w:hAnsi="Verdana" w:cs="Calibri"/>
                <w:b/>
                <w:color w:val="000000"/>
                <w:sz w:val="20"/>
                <w:lang w:eastAsia="en-GB"/>
              </w:rPr>
            </w:pPr>
            <w:r w:rsidRPr="003D7583">
              <w:rPr>
                <w:rFonts w:ascii="Verdana" w:hAnsi="Verdana" w:cs="Calibri"/>
                <w:b/>
                <w:color w:val="000000"/>
                <w:sz w:val="20"/>
                <w:lang w:eastAsia="en-GB"/>
              </w:rPr>
              <w:t> </w:t>
            </w:r>
          </w:p>
        </w:tc>
        <w:tc>
          <w:tcPr>
            <w:tcW w:w="1275" w:type="dxa"/>
            <w:tcBorders>
              <w:top w:val="single" w:color="auto" w:sz="4" w:space="0"/>
              <w:left w:val="nil"/>
              <w:bottom w:val="single" w:color="auto" w:sz="4" w:space="0"/>
              <w:right w:val="nil"/>
            </w:tcBorders>
            <w:shd w:val="clear" w:color="000000" w:fill="F2F2F2"/>
            <w:noWrap/>
            <w:vAlign w:val="bottom"/>
            <w:hideMark/>
          </w:tcPr>
          <w:p w:rsidRPr="003D7583" w:rsidR="00842389" w:rsidP="00AE0E5C" w:rsidRDefault="003D7583">
            <w:pPr>
              <w:overflowPunct/>
              <w:autoSpaceDE/>
              <w:autoSpaceDN/>
              <w:adjustRightInd/>
              <w:jc w:val="right"/>
              <w:textAlignment w:val="auto"/>
              <w:rPr>
                <w:rFonts w:ascii="Verdana" w:hAnsi="Verdana" w:cs="Calibri"/>
                <w:b/>
                <w:color w:val="000000"/>
                <w:sz w:val="20"/>
                <w:lang w:eastAsia="en-GB"/>
              </w:rPr>
            </w:pPr>
            <w:r w:rsidRPr="003D7583">
              <w:rPr>
                <w:rFonts w:ascii="Verdana" w:hAnsi="Verdana" w:cs="Calibri"/>
                <w:b/>
                <w:color w:val="000000"/>
                <w:sz w:val="20"/>
                <w:lang w:eastAsia="en-GB"/>
              </w:rPr>
              <w:t>4</w:t>
            </w:r>
            <w:r w:rsidR="00AE0E5C">
              <w:rPr>
                <w:rFonts w:ascii="Verdana" w:hAnsi="Verdana" w:cs="Calibri"/>
                <w:b/>
                <w:color w:val="000000"/>
                <w:sz w:val="20"/>
                <w:lang w:eastAsia="en-GB"/>
              </w:rPr>
              <w:t>56</w:t>
            </w:r>
          </w:p>
        </w:tc>
      </w:tr>
    </w:tbl>
    <w:p w:rsidRPr="003D7583" w:rsidR="00842389" w:rsidP="00AF4640" w:rsidRDefault="00842389">
      <w:pPr>
        <w:rPr>
          <w:rFonts w:ascii="Verdana" w:hAnsi="Verdana" w:cs="Arial"/>
          <w:sz w:val="20"/>
          <w:lang w:eastAsia="en-GB"/>
        </w:rPr>
      </w:pPr>
    </w:p>
    <w:p w:rsidRPr="003D7583" w:rsidR="00842389" w:rsidP="00AF4640" w:rsidRDefault="00842389">
      <w:pPr>
        <w:rPr>
          <w:rFonts w:ascii="Verdana" w:hAnsi="Verdana" w:cs="Arial"/>
          <w:sz w:val="20"/>
          <w:lang w:eastAsia="en-GB"/>
        </w:rPr>
      </w:pPr>
    </w:p>
    <w:p w:rsidRPr="003D7583" w:rsidR="00AF4640" w:rsidP="00AF4640" w:rsidRDefault="00AF4640">
      <w:pPr>
        <w:rPr>
          <w:rFonts w:ascii="Verdana" w:hAnsi="Verdana" w:cs="Arial"/>
          <w:sz w:val="20"/>
          <w:lang w:eastAsia="en-GB"/>
        </w:rPr>
      </w:pPr>
      <w:r w:rsidRPr="003D7583">
        <w:rPr>
          <w:rFonts w:ascii="Verdana" w:hAnsi="Verdana" w:cs="Arial"/>
          <w:sz w:val="20"/>
          <w:lang w:eastAsia="en-GB"/>
        </w:rPr>
        <w:t>The aggregate payroll costs of these persons were as follows:</w:t>
      </w:r>
    </w:p>
    <w:p w:rsidRPr="003D7583" w:rsidR="000C7DB5" w:rsidP="00AF4640" w:rsidRDefault="000C7DB5">
      <w:pPr>
        <w:rPr>
          <w:rFonts w:ascii="Verdana" w:hAnsi="Verdana" w:cs="Arial"/>
        </w:rPr>
      </w:pPr>
    </w:p>
    <w:tbl>
      <w:tblPr>
        <w:tblW w:w="9654" w:type="dxa"/>
        <w:tblInd w:w="93" w:type="dxa"/>
        <w:tblLook w:val="04A0" w:firstRow="1" w:lastRow="0" w:firstColumn="1" w:lastColumn="0" w:noHBand="0" w:noVBand="1"/>
      </w:tblPr>
      <w:tblGrid>
        <w:gridCol w:w="6580"/>
        <w:gridCol w:w="1346"/>
        <w:gridCol w:w="294"/>
        <w:gridCol w:w="1434"/>
      </w:tblGrid>
      <w:tr w:rsidRPr="003D7583" w:rsidR="00082DAE" w:rsidTr="00082DAE">
        <w:trPr>
          <w:trHeight w:val="285"/>
        </w:trPr>
        <w:tc>
          <w:tcPr>
            <w:tcW w:w="6580" w:type="dxa"/>
            <w:tcBorders>
              <w:top w:val="nil"/>
              <w:left w:val="nil"/>
              <w:bottom w:val="nil"/>
              <w:right w:val="nil"/>
            </w:tcBorders>
            <w:shd w:val="clear" w:color="000000" w:fill="F2F2F2"/>
            <w:vAlign w:val="center"/>
            <w:hideMark/>
          </w:tcPr>
          <w:p w:rsidRPr="003D7583" w:rsidR="00082DAE" w:rsidP="000C7DB5" w:rsidRDefault="00082DAE">
            <w:pPr>
              <w:overflowPunct/>
              <w:autoSpaceDE/>
              <w:autoSpaceDN/>
              <w:adjustRightInd/>
              <w:jc w:val="left"/>
              <w:textAlignment w:val="auto"/>
              <w:rPr>
                <w:rFonts w:ascii="Verdana" w:hAnsi="Verdana" w:cs="Calibri"/>
                <w:color w:val="000000"/>
                <w:sz w:val="20"/>
                <w:lang w:eastAsia="en-GB"/>
              </w:rPr>
            </w:pPr>
            <w:r w:rsidRPr="003D7583">
              <w:rPr>
                <w:rFonts w:ascii="Verdana" w:hAnsi="Verdana" w:cs="Calibri"/>
                <w:color w:val="000000"/>
                <w:sz w:val="20"/>
                <w:lang w:eastAsia="en-GB"/>
              </w:rPr>
              <w:t> </w:t>
            </w:r>
          </w:p>
        </w:tc>
        <w:tc>
          <w:tcPr>
            <w:tcW w:w="1346" w:type="dxa"/>
            <w:tcBorders>
              <w:top w:val="nil"/>
              <w:left w:val="nil"/>
              <w:bottom w:val="nil"/>
              <w:right w:val="nil"/>
            </w:tcBorders>
            <w:shd w:val="clear" w:color="000000" w:fill="F2F2F2"/>
            <w:vAlign w:val="center"/>
            <w:hideMark/>
          </w:tcPr>
          <w:p w:rsidRPr="003D7583" w:rsidR="00082DAE" w:rsidP="00C963B4" w:rsidRDefault="003D7583">
            <w:pPr>
              <w:overflowPunct/>
              <w:autoSpaceDE/>
              <w:autoSpaceDN/>
              <w:adjustRightInd/>
              <w:jc w:val="right"/>
              <w:textAlignment w:val="auto"/>
              <w:rPr>
                <w:rFonts w:ascii="Verdana" w:hAnsi="Verdana" w:cs="Calibri"/>
                <w:b/>
                <w:bCs/>
                <w:color w:val="000000"/>
                <w:sz w:val="20"/>
                <w:lang w:eastAsia="en-GB"/>
              </w:rPr>
            </w:pPr>
            <w:r w:rsidRPr="003D7583">
              <w:rPr>
                <w:rFonts w:ascii="Verdana" w:hAnsi="Verdana" w:cs="Calibri"/>
                <w:b/>
                <w:bCs/>
                <w:color w:val="000000"/>
                <w:sz w:val="20"/>
                <w:lang w:eastAsia="en-GB"/>
              </w:rPr>
              <w:t>201</w:t>
            </w:r>
            <w:r w:rsidR="00C963B4">
              <w:rPr>
                <w:rFonts w:ascii="Verdana" w:hAnsi="Verdana" w:cs="Calibri"/>
                <w:b/>
                <w:bCs/>
                <w:color w:val="000000"/>
                <w:sz w:val="20"/>
                <w:lang w:eastAsia="en-GB"/>
              </w:rPr>
              <w:t>7</w:t>
            </w:r>
            <w:r w:rsidRPr="003D7583" w:rsidR="00082DAE">
              <w:rPr>
                <w:rFonts w:ascii="Verdana" w:hAnsi="Verdana" w:cs="Calibri"/>
                <w:b/>
                <w:bCs/>
                <w:color w:val="000000"/>
                <w:sz w:val="20"/>
                <w:lang w:eastAsia="en-GB"/>
              </w:rPr>
              <w:t>-1</w:t>
            </w:r>
            <w:r w:rsidR="00C963B4">
              <w:rPr>
                <w:rFonts w:ascii="Verdana" w:hAnsi="Verdana" w:cs="Calibri"/>
                <w:b/>
                <w:bCs/>
                <w:color w:val="000000"/>
                <w:sz w:val="20"/>
                <w:lang w:eastAsia="en-GB"/>
              </w:rPr>
              <w:t>8</w:t>
            </w:r>
          </w:p>
        </w:tc>
        <w:tc>
          <w:tcPr>
            <w:tcW w:w="294" w:type="dxa"/>
            <w:tcBorders>
              <w:top w:val="nil"/>
              <w:left w:val="nil"/>
              <w:bottom w:val="nil"/>
              <w:right w:val="nil"/>
            </w:tcBorders>
            <w:shd w:val="clear" w:color="000000" w:fill="F2F2F2"/>
            <w:noWrap/>
            <w:vAlign w:val="bottom"/>
            <w:hideMark/>
          </w:tcPr>
          <w:p w:rsidRPr="003D7583" w:rsidR="00082DAE" w:rsidP="000C7DB5" w:rsidRDefault="00082DAE">
            <w:pPr>
              <w:overflowPunct/>
              <w:autoSpaceDE/>
              <w:autoSpaceDN/>
              <w:adjustRightInd/>
              <w:jc w:val="left"/>
              <w:textAlignment w:val="auto"/>
              <w:rPr>
                <w:rFonts w:ascii="Verdana" w:hAnsi="Verdana" w:cs="Calibri"/>
                <w:color w:val="000000"/>
                <w:sz w:val="20"/>
                <w:lang w:eastAsia="en-GB"/>
              </w:rPr>
            </w:pPr>
            <w:r w:rsidRPr="003D7583">
              <w:rPr>
                <w:rFonts w:ascii="Verdana" w:hAnsi="Verdana" w:cs="Calibri"/>
                <w:color w:val="000000"/>
                <w:sz w:val="20"/>
                <w:lang w:eastAsia="en-GB"/>
              </w:rPr>
              <w:t> </w:t>
            </w:r>
          </w:p>
        </w:tc>
        <w:tc>
          <w:tcPr>
            <w:tcW w:w="1434" w:type="dxa"/>
            <w:tcBorders>
              <w:top w:val="nil"/>
              <w:left w:val="nil"/>
              <w:bottom w:val="nil"/>
              <w:right w:val="nil"/>
            </w:tcBorders>
            <w:shd w:val="clear" w:color="000000" w:fill="F2F2F2"/>
            <w:vAlign w:val="center"/>
          </w:tcPr>
          <w:p w:rsidRPr="003D7583" w:rsidR="00082DAE" w:rsidP="00C963B4" w:rsidRDefault="00082DAE">
            <w:pPr>
              <w:overflowPunct/>
              <w:autoSpaceDE/>
              <w:autoSpaceDN/>
              <w:adjustRightInd/>
              <w:jc w:val="right"/>
              <w:textAlignment w:val="auto"/>
              <w:rPr>
                <w:rFonts w:ascii="Verdana" w:hAnsi="Verdana" w:cs="Calibri"/>
                <w:b/>
                <w:bCs/>
                <w:color w:val="000000"/>
                <w:sz w:val="20"/>
                <w:lang w:eastAsia="en-GB"/>
              </w:rPr>
            </w:pPr>
            <w:r w:rsidRPr="003D7583">
              <w:rPr>
                <w:rFonts w:ascii="Verdana" w:hAnsi="Verdana" w:cs="Calibri"/>
                <w:b/>
                <w:bCs/>
                <w:color w:val="000000"/>
                <w:sz w:val="20"/>
                <w:lang w:eastAsia="en-GB"/>
              </w:rPr>
              <w:t>201</w:t>
            </w:r>
            <w:r w:rsidR="00C963B4">
              <w:rPr>
                <w:rFonts w:ascii="Verdana" w:hAnsi="Verdana" w:cs="Calibri"/>
                <w:b/>
                <w:bCs/>
                <w:color w:val="000000"/>
                <w:sz w:val="20"/>
                <w:lang w:eastAsia="en-GB"/>
              </w:rPr>
              <w:t>6</w:t>
            </w:r>
            <w:r w:rsidRPr="003D7583">
              <w:rPr>
                <w:rFonts w:ascii="Verdana" w:hAnsi="Verdana" w:cs="Calibri"/>
                <w:b/>
                <w:bCs/>
                <w:color w:val="000000"/>
                <w:sz w:val="20"/>
                <w:lang w:eastAsia="en-GB"/>
              </w:rPr>
              <w:t>-1</w:t>
            </w:r>
            <w:r w:rsidR="00C963B4">
              <w:rPr>
                <w:rFonts w:ascii="Verdana" w:hAnsi="Verdana" w:cs="Calibri"/>
                <w:b/>
                <w:bCs/>
                <w:color w:val="000000"/>
                <w:sz w:val="20"/>
                <w:lang w:eastAsia="en-GB"/>
              </w:rPr>
              <w:t>7</w:t>
            </w:r>
          </w:p>
        </w:tc>
      </w:tr>
      <w:tr w:rsidRPr="003D7583" w:rsidR="00082DAE" w:rsidTr="00082DAE">
        <w:trPr>
          <w:trHeight w:val="285"/>
        </w:trPr>
        <w:tc>
          <w:tcPr>
            <w:tcW w:w="6580" w:type="dxa"/>
            <w:tcBorders>
              <w:top w:val="nil"/>
              <w:left w:val="nil"/>
              <w:bottom w:val="nil"/>
              <w:right w:val="nil"/>
            </w:tcBorders>
            <w:shd w:val="clear" w:color="000000" w:fill="F2F2F2"/>
            <w:vAlign w:val="center"/>
            <w:hideMark/>
          </w:tcPr>
          <w:p w:rsidRPr="003D7583" w:rsidR="00082DAE" w:rsidP="000C7DB5" w:rsidRDefault="00082DAE">
            <w:pPr>
              <w:overflowPunct/>
              <w:autoSpaceDE/>
              <w:autoSpaceDN/>
              <w:adjustRightInd/>
              <w:jc w:val="left"/>
              <w:textAlignment w:val="auto"/>
              <w:rPr>
                <w:rFonts w:ascii="Verdana" w:hAnsi="Verdana" w:cs="Calibri"/>
                <w:color w:val="000000"/>
                <w:sz w:val="20"/>
                <w:lang w:eastAsia="en-GB"/>
              </w:rPr>
            </w:pPr>
            <w:r w:rsidRPr="003D7583">
              <w:rPr>
                <w:rFonts w:ascii="Verdana" w:hAnsi="Verdana" w:cs="Calibri"/>
                <w:color w:val="000000"/>
                <w:sz w:val="20"/>
                <w:lang w:eastAsia="en-GB"/>
              </w:rPr>
              <w:t> </w:t>
            </w:r>
          </w:p>
        </w:tc>
        <w:tc>
          <w:tcPr>
            <w:tcW w:w="1346" w:type="dxa"/>
            <w:tcBorders>
              <w:top w:val="nil"/>
              <w:left w:val="nil"/>
              <w:bottom w:val="nil"/>
              <w:right w:val="nil"/>
            </w:tcBorders>
            <w:shd w:val="clear" w:color="000000" w:fill="F2F2F2"/>
            <w:noWrap/>
            <w:vAlign w:val="bottom"/>
            <w:hideMark/>
          </w:tcPr>
          <w:p w:rsidRPr="003D7583" w:rsidR="00082DAE" w:rsidP="000C7DB5" w:rsidRDefault="00082DAE">
            <w:pPr>
              <w:overflowPunct/>
              <w:autoSpaceDE/>
              <w:autoSpaceDN/>
              <w:adjustRightInd/>
              <w:jc w:val="right"/>
              <w:textAlignment w:val="auto"/>
              <w:rPr>
                <w:rFonts w:ascii="Verdana" w:hAnsi="Verdana" w:cs="Calibri"/>
                <w:bCs/>
                <w:color w:val="000000"/>
                <w:sz w:val="20"/>
                <w:lang w:eastAsia="en-GB"/>
              </w:rPr>
            </w:pPr>
            <w:r w:rsidRPr="003D7583">
              <w:rPr>
                <w:rFonts w:ascii="Verdana" w:hAnsi="Verdana" w:cs="Calibri"/>
                <w:bCs/>
                <w:color w:val="000000"/>
                <w:sz w:val="20"/>
                <w:lang w:eastAsia="en-GB"/>
              </w:rPr>
              <w:t>£(000)</w:t>
            </w:r>
          </w:p>
        </w:tc>
        <w:tc>
          <w:tcPr>
            <w:tcW w:w="294" w:type="dxa"/>
            <w:tcBorders>
              <w:top w:val="nil"/>
              <w:left w:val="nil"/>
              <w:bottom w:val="nil"/>
              <w:right w:val="nil"/>
            </w:tcBorders>
            <w:shd w:val="clear" w:color="000000" w:fill="F2F2F2"/>
            <w:noWrap/>
            <w:vAlign w:val="bottom"/>
            <w:hideMark/>
          </w:tcPr>
          <w:p w:rsidRPr="003D7583" w:rsidR="00082DAE" w:rsidP="000C7DB5" w:rsidRDefault="00082DAE">
            <w:pPr>
              <w:overflowPunct/>
              <w:autoSpaceDE/>
              <w:autoSpaceDN/>
              <w:adjustRightInd/>
              <w:jc w:val="right"/>
              <w:textAlignment w:val="auto"/>
              <w:rPr>
                <w:rFonts w:ascii="Verdana" w:hAnsi="Verdana" w:cs="Calibri"/>
                <w:bCs/>
                <w:color w:val="000000"/>
                <w:sz w:val="20"/>
                <w:lang w:eastAsia="en-GB"/>
              </w:rPr>
            </w:pPr>
            <w:r w:rsidRPr="003D7583">
              <w:rPr>
                <w:rFonts w:ascii="Verdana" w:hAnsi="Verdana" w:cs="Calibri"/>
                <w:bCs/>
                <w:color w:val="000000"/>
                <w:sz w:val="20"/>
                <w:lang w:eastAsia="en-GB"/>
              </w:rPr>
              <w:t> </w:t>
            </w:r>
          </w:p>
        </w:tc>
        <w:tc>
          <w:tcPr>
            <w:tcW w:w="1434" w:type="dxa"/>
            <w:tcBorders>
              <w:top w:val="nil"/>
              <w:left w:val="nil"/>
              <w:bottom w:val="nil"/>
              <w:right w:val="nil"/>
            </w:tcBorders>
            <w:shd w:val="clear" w:color="000000" w:fill="F2F2F2"/>
            <w:vAlign w:val="bottom"/>
          </w:tcPr>
          <w:p w:rsidRPr="003D7583" w:rsidR="00082DAE" w:rsidP="00AF5C73" w:rsidRDefault="00082DAE">
            <w:pPr>
              <w:overflowPunct/>
              <w:autoSpaceDE/>
              <w:autoSpaceDN/>
              <w:adjustRightInd/>
              <w:jc w:val="right"/>
              <w:textAlignment w:val="auto"/>
              <w:rPr>
                <w:rFonts w:ascii="Verdana" w:hAnsi="Verdana" w:cs="Calibri"/>
                <w:bCs/>
                <w:color w:val="000000"/>
                <w:sz w:val="20"/>
                <w:lang w:eastAsia="en-GB"/>
              </w:rPr>
            </w:pPr>
            <w:r w:rsidRPr="003D7583">
              <w:rPr>
                <w:rFonts w:ascii="Verdana" w:hAnsi="Verdana" w:cs="Calibri"/>
                <w:bCs/>
                <w:color w:val="000000"/>
                <w:sz w:val="20"/>
                <w:lang w:eastAsia="en-GB"/>
              </w:rPr>
              <w:t>£(000)</w:t>
            </w:r>
          </w:p>
        </w:tc>
      </w:tr>
      <w:tr w:rsidRPr="003D7583" w:rsidR="00082DAE" w:rsidTr="00082DAE">
        <w:trPr>
          <w:trHeight w:val="255"/>
        </w:trPr>
        <w:tc>
          <w:tcPr>
            <w:tcW w:w="6580" w:type="dxa"/>
            <w:tcBorders>
              <w:top w:val="nil"/>
              <w:left w:val="nil"/>
              <w:bottom w:val="nil"/>
              <w:right w:val="nil"/>
            </w:tcBorders>
            <w:shd w:val="clear" w:color="000000" w:fill="F2F2F2"/>
            <w:noWrap/>
            <w:vAlign w:val="bottom"/>
            <w:hideMark/>
          </w:tcPr>
          <w:p w:rsidRPr="003D7583" w:rsidR="00082DAE" w:rsidP="000C7DB5" w:rsidRDefault="00082DAE">
            <w:pPr>
              <w:overflowPunct/>
              <w:autoSpaceDE/>
              <w:autoSpaceDN/>
              <w:adjustRightInd/>
              <w:jc w:val="left"/>
              <w:textAlignment w:val="auto"/>
              <w:rPr>
                <w:rFonts w:ascii="Verdana" w:hAnsi="Verdana" w:cs="Calibri"/>
                <w:color w:val="000000"/>
                <w:sz w:val="20"/>
                <w:lang w:eastAsia="en-GB"/>
              </w:rPr>
            </w:pPr>
            <w:r w:rsidRPr="003D7583">
              <w:rPr>
                <w:rFonts w:ascii="Verdana" w:hAnsi="Verdana" w:cs="Calibri"/>
                <w:color w:val="000000"/>
                <w:sz w:val="20"/>
                <w:lang w:eastAsia="en-GB"/>
              </w:rPr>
              <w:t> </w:t>
            </w:r>
          </w:p>
        </w:tc>
        <w:tc>
          <w:tcPr>
            <w:tcW w:w="1346" w:type="dxa"/>
            <w:tcBorders>
              <w:top w:val="nil"/>
              <w:left w:val="nil"/>
              <w:bottom w:val="nil"/>
              <w:right w:val="nil"/>
            </w:tcBorders>
            <w:shd w:val="clear" w:color="000000" w:fill="F2F2F2"/>
            <w:noWrap/>
            <w:vAlign w:val="bottom"/>
            <w:hideMark/>
          </w:tcPr>
          <w:p w:rsidRPr="003D7583" w:rsidR="00082DAE" w:rsidP="000C7DB5" w:rsidRDefault="00082DAE">
            <w:pPr>
              <w:overflowPunct/>
              <w:autoSpaceDE/>
              <w:autoSpaceDN/>
              <w:adjustRightInd/>
              <w:jc w:val="left"/>
              <w:textAlignment w:val="auto"/>
              <w:rPr>
                <w:rFonts w:ascii="Verdana" w:hAnsi="Verdana" w:cs="Calibri"/>
                <w:color w:val="000000"/>
                <w:sz w:val="20"/>
                <w:lang w:eastAsia="en-GB"/>
              </w:rPr>
            </w:pPr>
            <w:r w:rsidRPr="003D7583">
              <w:rPr>
                <w:rFonts w:ascii="Verdana" w:hAnsi="Verdana" w:cs="Calibri"/>
                <w:color w:val="000000"/>
                <w:sz w:val="20"/>
                <w:lang w:eastAsia="en-GB"/>
              </w:rPr>
              <w:t> </w:t>
            </w:r>
          </w:p>
        </w:tc>
        <w:tc>
          <w:tcPr>
            <w:tcW w:w="294" w:type="dxa"/>
            <w:tcBorders>
              <w:top w:val="nil"/>
              <w:left w:val="nil"/>
              <w:bottom w:val="nil"/>
              <w:right w:val="nil"/>
            </w:tcBorders>
            <w:shd w:val="clear" w:color="000000" w:fill="F2F2F2"/>
            <w:noWrap/>
            <w:vAlign w:val="bottom"/>
            <w:hideMark/>
          </w:tcPr>
          <w:p w:rsidRPr="003D7583" w:rsidR="00082DAE" w:rsidP="000C7DB5" w:rsidRDefault="00082DAE">
            <w:pPr>
              <w:overflowPunct/>
              <w:autoSpaceDE/>
              <w:autoSpaceDN/>
              <w:adjustRightInd/>
              <w:jc w:val="left"/>
              <w:textAlignment w:val="auto"/>
              <w:rPr>
                <w:rFonts w:ascii="Verdana" w:hAnsi="Verdana" w:cs="Calibri"/>
                <w:color w:val="000000"/>
                <w:sz w:val="20"/>
                <w:lang w:eastAsia="en-GB"/>
              </w:rPr>
            </w:pPr>
            <w:r w:rsidRPr="003D7583">
              <w:rPr>
                <w:rFonts w:ascii="Verdana" w:hAnsi="Verdana" w:cs="Calibri"/>
                <w:color w:val="000000"/>
                <w:sz w:val="20"/>
                <w:lang w:eastAsia="en-GB"/>
              </w:rPr>
              <w:t> </w:t>
            </w:r>
          </w:p>
        </w:tc>
        <w:tc>
          <w:tcPr>
            <w:tcW w:w="1434" w:type="dxa"/>
            <w:tcBorders>
              <w:top w:val="nil"/>
              <w:left w:val="nil"/>
              <w:bottom w:val="nil"/>
              <w:right w:val="nil"/>
            </w:tcBorders>
            <w:shd w:val="clear" w:color="000000" w:fill="F2F2F2"/>
            <w:vAlign w:val="bottom"/>
          </w:tcPr>
          <w:p w:rsidRPr="003D7583" w:rsidR="00082DAE" w:rsidP="00AF5C73" w:rsidRDefault="00082DAE">
            <w:pPr>
              <w:overflowPunct/>
              <w:autoSpaceDE/>
              <w:autoSpaceDN/>
              <w:adjustRightInd/>
              <w:jc w:val="left"/>
              <w:textAlignment w:val="auto"/>
              <w:rPr>
                <w:rFonts w:ascii="Verdana" w:hAnsi="Verdana" w:cs="Calibri"/>
                <w:color w:val="000000"/>
                <w:sz w:val="20"/>
                <w:lang w:eastAsia="en-GB"/>
              </w:rPr>
            </w:pPr>
            <w:r w:rsidRPr="003D7583">
              <w:rPr>
                <w:rFonts w:ascii="Verdana" w:hAnsi="Verdana" w:cs="Calibri"/>
                <w:color w:val="000000"/>
                <w:sz w:val="20"/>
                <w:lang w:eastAsia="en-GB"/>
              </w:rPr>
              <w:t> </w:t>
            </w:r>
          </w:p>
        </w:tc>
      </w:tr>
      <w:tr w:rsidRPr="003D7583" w:rsidR="00842389" w:rsidTr="004E27BD">
        <w:trPr>
          <w:trHeight w:val="285"/>
        </w:trPr>
        <w:tc>
          <w:tcPr>
            <w:tcW w:w="6580" w:type="dxa"/>
            <w:tcBorders>
              <w:top w:val="nil"/>
              <w:left w:val="nil"/>
              <w:bottom w:val="nil"/>
              <w:right w:val="nil"/>
            </w:tcBorders>
            <w:shd w:val="clear" w:color="000000" w:fill="F2F2F2"/>
            <w:vAlign w:val="center"/>
            <w:hideMark/>
          </w:tcPr>
          <w:p w:rsidRPr="003D7583" w:rsidR="00842389" w:rsidP="000C7DB5" w:rsidRDefault="00842389">
            <w:pPr>
              <w:overflowPunct/>
              <w:autoSpaceDE/>
              <w:autoSpaceDN/>
              <w:adjustRightInd/>
              <w:jc w:val="left"/>
              <w:textAlignment w:val="auto"/>
              <w:rPr>
                <w:rFonts w:ascii="Verdana" w:hAnsi="Verdana" w:cs="Calibri"/>
                <w:color w:val="000000"/>
                <w:sz w:val="20"/>
                <w:lang w:eastAsia="en-GB"/>
              </w:rPr>
            </w:pPr>
            <w:r w:rsidRPr="003D7583">
              <w:rPr>
                <w:rFonts w:ascii="Verdana" w:hAnsi="Verdana" w:cs="Calibri"/>
                <w:color w:val="000000"/>
                <w:sz w:val="20"/>
                <w:lang w:eastAsia="en-GB"/>
              </w:rPr>
              <w:t>Wages &amp; Salaries</w:t>
            </w:r>
          </w:p>
        </w:tc>
        <w:tc>
          <w:tcPr>
            <w:tcW w:w="1346" w:type="dxa"/>
            <w:tcBorders>
              <w:top w:val="nil"/>
              <w:left w:val="nil"/>
              <w:bottom w:val="nil"/>
              <w:right w:val="nil"/>
            </w:tcBorders>
            <w:shd w:val="clear" w:color="000000" w:fill="F2F2F2"/>
            <w:vAlign w:val="bottom"/>
          </w:tcPr>
          <w:p w:rsidRPr="003D7583" w:rsidR="00842389" w:rsidP="00C963B4" w:rsidRDefault="003D7583">
            <w:pPr>
              <w:jc w:val="right"/>
              <w:rPr>
                <w:rFonts w:ascii="Verdana" w:hAnsi="Verdana" w:cs="Calibri"/>
                <w:sz w:val="20"/>
              </w:rPr>
            </w:pPr>
            <w:r w:rsidRPr="003D7583">
              <w:rPr>
                <w:rFonts w:ascii="Verdana" w:hAnsi="Verdana" w:cs="Calibri"/>
                <w:sz w:val="20"/>
              </w:rPr>
              <w:t>15,</w:t>
            </w:r>
            <w:r w:rsidR="00C963B4">
              <w:rPr>
                <w:rFonts w:ascii="Verdana" w:hAnsi="Verdana" w:cs="Calibri"/>
                <w:sz w:val="20"/>
              </w:rPr>
              <w:t>711</w:t>
            </w:r>
            <w:r w:rsidRPr="003D7583" w:rsidR="00842389">
              <w:rPr>
                <w:rFonts w:ascii="Verdana" w:hAnsi="Verdana" w:cs="Calibri"/>
                <w:sz w:val="20"/>
              </w:rPr>
              <w:t xml:space="preserve"> </w:t>
            </w:r>
          </w:p>
        </w:tc>
        <w:tc>
          <w:tcPr>
            <w:tcW w:w="294" w:type="dxa"/>
            <w:tcBorders>
              <w:top w:val="nil"/>
              <w:left w:val="nil"/>
              <w:bottom w:val="nil"/>
              <w:right w:val="nil"/>
            </w:tcBorders>
            <w:shd w:val="clear" w:color="000000" w:fill="F2F2F2"/>
            <w:vAlign w:val="center"/>
            <w:hideMark/>
          </w:tcPr>
          <w:p w:rsidRPr="003D7583" w:rsidR="00842389" w:rsidP="000C7DB5" w:rsidRDefault="00842389">
            <w:pPr>
              <w:overflowPunct/>
              <w:autoSpaceDE/>
              <w:autoSpaceDN/>
              <w:adjustRightInd/>
              <w:jc w:val="right"/>
              <w:textAlignment w:val="auto"/>
              <w:rPr>
                <w:rFonts w:ascii="Verdana" w:hAnsi="Verdana" w:cs="Calibri"/>
                <w:color w:val="000000"/>
                <w:sz w:val="20"/>
                <w:lang w:eastAsia="en-GB"/>
              </w:rPr>
            </w:pPr>
            <w:r w:rsidRPr="003D7583">
              <w:rPr>
                <w:rFonts w:ascii="Verdana" w:hAnsi="Verdana" w:cs="Calibri"/>
                <w:color w:val="000000"/>
                <w:sz w:val="20"/>
                <w:lang w:eastAsia="en-GB"/>
              </w:rPr>
              <w:t> </w:t>
            </w:r>
          </w:p>
        </w:tc>
        <w:tc>
          <w:tcPr>
            <w:tcW w:w="1434" w:type="dxa"/>
            <w:tcBorders>
              <w:top w:val="nil"/>
              <w:left w:val="nil"/>
              <w:bottom w:val="nil"/>
              <w:right w:val="nil"/>
            </w:tcBorders>
            <w:shd w:val="clear" w:color="000000" w:fill="F2F2F2"/>
            <w:vAlign w:val="center"/>
          </w:tcPr>
          <w:p w:rsidRPr="003D7583" w:rsidR="00842389" w:rsidP="00C963B4" w:rsidRDefault="003D7583">
            <w:pPr>
              <w:overflowPunct/>
              <w:autoSpaceDE/>
              <w:autoSpaceDN/>
              <w:adjustRightInd/>
              <w:jc w:val="right"/>
              <w:textAlignment w:val="auto"/>
              <w:rPr>
                <w:rFonts w:ascii="Verdana" w:hAnsi="Verdana" w:cs="Calibri"/>
                <w:color w:val="000000"/>
                <w:sz w:val="20"/>
                <w:lang w:eastAsia="en-GB"/>
              </w:rPr>
            </w:pPr>
            <w:r w:rsidRPr="003D7583">
              <w:rPr>
                <w:rFonts w:ascii="Verdana" w:hAnsi="Verdana" w:cs="Calibri"/>
                <w:color w:val="000000"/>
                <w:sz w:val="20"/>
                <w:lang w:eastAsia="en-GB"/>
              </w:rPr>
              <w:t>15</w:t>
            </w:r>
            <w:r w:rsidRPr="003D7583" w:rsidR="00842389">
              <w:rPr>
                <w:rFonts w:ascii="Verdana" w:hAnsi="Verdana" w:cs="Calibri"/>
                <w:color w:val="000000"/>
                <w:sz w:val="20"/>
                <w:lang w:eastAsia="en-GB"/>
              </w:rPr>
              <w:t>,</w:t>
            </w:r>
            <w:r w:rsidRPr="003D7583">
              <w:rPr>
                <w:rFonts w:ascii="Verdana" w:hAnsi="Verdana" w:cs="Calibri"/>
                <w:color w:val="000000"/>
                <w:sz w:val="20"/>
                <w:lang w:eastAsia="en-GB"/>
              </w:rPr>
              <w:t>3</w:t>
            </w:r>
            <w:r w:rsidR="00C963B4">
              <w:rPr>
                <w:rFonts w:ascii="Verdana" w:hAnsi="Verdana" w:cs="Calibri"/>
                <w:color w:val="000000"/>
                <w:sz w:val="20"/>
                <w:lang w:eastAsia="en-GB"/>
              </w:rPr>
              <w:t>5</w:t>
            </w:r>
            <w:r w:rsidRPr="003D7583">
              <w:rPr>
                <w:rFonts w:ascii="Verdana" w:hAnsi="Verdana" w:cs="Calibri"/>
                <w:color w:val="000000"/>
                <w:sz w:val="20"/>
                <w:lang w:eastAsia="en-GB"/>
              </w:rPr>
              <w:t>6</w:t>
            </w:r>
          </w:p>
        </w:tc>
      </w:tr>
      <w:tr w:rsidRPr="003D7583" w:rsidR="00842389" w:rsidTr="004E27BD">
        <w:trPr>
          <w:trHeight w:val="285"/>
        </w:trPr>
        <w:tc>
          <w:tcPr>
            <w:tcW w:w="6580" w:type="dxa"/>
            <w:tcBorders>
              <w:top w:val="nil"/>
              <w:left w:val="nil"/>
              <w:bottom w:val="nil"/>
              <w:right w:val="nil"/>
            </w:tcBorders>
            <w:shd w:val="clear" w:color="000000" w:fill="F2F2F2"/>
            <w:vAlign w:val="center"/>
            <w:hideMark/>
          </w:tcPr>
          <w:p w:rsidRPr="003D7583" w:rsidR="00842389" w:rsidP="000C7DB5" w:rsidRDefault="00842389">
            <w:pPr>
              <w:overflowPunct/>
              <w:autoSpaceDE/>
              <w:autoSpaceDN/>
              <w:adjustRightInd/>
              <w:jc w:val="left"/>
              <w:textAlignment w:val="auto"/>
              <w:rPr>
                <w:rFonts w:ascii="Verdana" w:hAnsi="Verdana" w:cs="Calibri"/>
                <w:color w:val="000000"/>
                <w:sz w:val="20"/>
                <w:lang w:eastAsia="en-GB"/>
              </w:rPr>
            </w:pPr>
            <w:r w:rsidRPr="003D7583">
              <w:rPr>
                <w:rFonts w:ascii="Verdana" w:hAnsi="Verdana" w:cs="Calibri"/>
                <w:color w:val="000000"/>
                <w:sz w:val="20"/>
                <w:lang w:eastAsia="en-GB"/>
              </w:rPr>
              <w:t>Social security costs</w:t>
            </w:r>
          </w:p>
        </w:tc>
        <w:tc>
          <w:tcPr>
            <w:tcW w:w="1346" w:type="dxa"/>
            <w:tcBorders>
              <w:top w:val="nil"/>
              <w:left w:val="nil"/>
              <w:bottom w:val="nil"/>
              <w:right w:val="nil"/>
            </w:tcBorders>
            <w:shd w:val="clear" w:color="000000" w:fill="F2F2F2"/>
            <w:vAlign w:val="bottom"/>
          </w:tcPr>
          <w:p w:rsidRPr="003D7583" w:rsidR="00842389" w:rsidP="00C963B4" w:rsidRDefault="003D7583">
            <w:pPr>
              <w:jc w:val="right"/>
              <w:rPr>
                <w:rFonts w:ascii="Verdana" w:hAnsi="Verdana" w:cs="Calibri"/>
                <w:sz w:val="20"/>
              </w:rPr>
            </w:pPr>
            <w:r w:rsidRPr="003D7583">
              <w:rPr>
                <w:rFonts w:ascii="Verdana" w:hAnsi="Verdana" w:cs="Calibri"/>
                <w:sz w:val="20"/>
              </w:rPr>
              <w:t>1,52</w:t>
            </w:r>
            <w:r w:rsidR="00C963B4">
              <w:rPr>
                <w:rFonts w:ascii="Verdana" w:hAnsi="Verdana" w:cs="Calibri"/>
                <w:sz w:val="20"/>
              </w:rPr>
              <w:t>2</w:t>
            </w:r>
            <w:r w:rsidRPr="003D7583" w:rsidR="00842389">
              <w:rPr>
                <w:rFonts w:ascii="Verdana" w:hAnsi="Verdana" w:cs="Calibri"/>
                <w:sz w:val="20"/>
              </w:rPr>
              <w:t xml:space="preserve"> </w:t>
            </w:r>
          </w:p>
        </w:tc>
        <w:tc>
          <w:tcPr>
            <w:tcW w:w="294" w:type="dxa"/>
            <w:tcBorders>
              <w:top w:val="nil"/>
              <w:left w:val="nil"/>
              <w:bottom w:val="nil"/>
              <w:right w:val="nil"/>
            </w:tcBorders>
            <w:shd w:val="clear" w:color="000000" w:fill="F2F2F2"/>
            <w:vAlign w:val="center"/>
            <w:hideMark/>
          </w:tcPr>
          <w:p w:rsidRPr="003D7583" w:rsidR="00842389" w:rsidP="000C7DB5" w:rsidRDefault="00842389">
            <w:pPr>
              <w:overflowPunct/>
              <w:autoSpaceDE/>
              <w:autoSpaceDN/>
              <w:adjustRightInd/>
              <w:jc w:val="right"/>
              <w:textAlignment w:val="auto"/>
              <w:rPr>
                <w:rFonts w:ascii="Verdana" w:hAnsi="Verdana" w:cs="Calibri"/>
                <w:color w:val="000000"/>
                <w:sz w:val="20"/>
                <w:lang w:eastAsia="en-GB"/>
              </w:rPr>
            </w:pPr>
            <w:r w:rsidRPr="003D7583">
              <w:rPr>
                <w:rFonts w:ascii="Verdana" w:hAnsi="Verdana" w:cs="Calibri"/>
                <w:color w:val="000000"/>
                <w:sz w:val="20"/>
                <w:lang w:eastAsia="en-GB"/>
              </w:rPr>
              <w:t> </w:t>
            </w:r>
          </w:p>
        </w:tc>
        <w:tc>
          <w:tcPr>
            <w:tcW w:w="1434" w:type="dxa"/>
            <w:tcBorders>
              <w:top w:val="nil"/>
              <w:left w:val="nil"/>
              <w:bottom w:val="nil"/>
              <w:right w:val="nil"/>
            </w:tcBorders>
            <w:shd w:val="clear" w:color="000000" w:fill="F2F2F2"/>
            <w:vAlign w:val="center"/>
          </w:tcPr>
          <w:p w:rsidRPr="003D7583" w:rsidR="00842389" w:rsidP="00C963B4" w:rsidRDefault="00842389">
            <w:pPr>
              <w:overflowPunct/>
              <w:autoSpaceDE/>
              <w:autoSpaceDN/>
              <w:adjustRightInd/>
              <w:jc w:val="right"/>
              <w:textAlignment w:val="auto"/>
              <w:rPr>
                <w:rFonts w:ascii="Verdana" w:hAnsi="Verdana" w:cs="Calibri"/>
                <w:color w:val="000000"/>
                <w:sz w:val="20"/>
                <w:lang w:eastAsia="en-GB"/>
              </w:rPr>
            </w:pPr>
            <w:r w:rsidRPr="003D7583">
              <w:rPr>
                <w:rFonts w:ascii="Verdana" w:hAnsi="Verdana" w:cs="Calibri"/>
                <w:color w:val="000000"/>
                <w:sz w:val="20"/>
                <w:lang w:eastAsia="en-GB"/>
              </w:rPr>
              <w:t>1,</w:t>
            </w:r>
            <w:r w:rsidR="00C963B4">
              <w:rPr>
                <w:rFonts w:ascii="Verdana" w:hAnsi="Verdana" w:cs="Calibri"/>
                <w:color w:val="000000"/>
                <w:sz w:val="20"/>
                <w:lang w:eastAsia="en-GB"/>
              </w:rPr>
              <w:t>5</w:t>
            </w:r>
            <w:r w:rsidRPr="003D7583" w:rsidR="003D7583">
              <w:rPr>
                <w:rFonts w:ascii="Verdana" w:hAnsi="Verdana" w:cs="Calibri"/>
                <w:color w:val="000000"/>
                <w:sz w:val="20"/>
                <w:lang w:eastAsia="en-GB"/>
              </w:rPr>
              <w:t>27</w:t>
            </w:r>
          </w:p>
        </w:tc>
      </w:tr>
      <w:tr w:rsidRPr="003D7583" w:rsidR="00842389" w:rsidTr="004E27BD">
        <w:trPr>
          <w:trHeight w:val="285"/>
        </w:trPr>
        <w:tc>
          <w:tcPr>
            <w:tcW w:w="6580" w:type="dxa"/>
            <w:tcBorders>
              <w:top w:val="nil"/>
              <w:left w:val="nil"/>
              <w:bottom w:val="nil"/>
              <w:right w:val="nil"/>
            </w:tcBorders>
            <w:shd w:val="clear" w:color="000000" w:fill="F2F2F2"/>
            <w:vAlign w:val="center"/>
            <w:hideMark/>
          </w:tcPr>
          <w:p w:rsidRPr="003D7583" w:rsidR="00842389" w:rsidP="000C7DB5" w:rsidRDefault="00842389">
            <w:pPr>
              <w:overflowPunct/>
              <w:autoSpaceDE/>
              <w:autoSpaceDN/>
              <w:adjustRightInd/>
              <w:jc w:val="left"/>
              <w:textAlignment w:val="auto"/>
              <w:rPr>
                <w:rFonts w:ascii="Verdana" w:hAnsi="Verdana" w:cs="Calibri"/>
                <w:color w:val="000000"/>
                <w:sz w:val="20"/>
                <w:lang w:eastAsia="en-GB"/>
              </w:rPr>
            </w:pPr>
            <w:r w:rsidRPr="003D7583">
              <w:rPr>
                <w:rFonts w:ascii="Verdana" w:hAnsi="Verdana" w:cs="Calibri"/>
                <w:color w:val="000000"/>
                <w:sz w:val="20"/>
                <w:lang w:eastAsia="en-GB"/>
              </w:rPr>
              <w:t>Other pension costs</w:t>
            </w:r>
          </w:p>
        </w:tc>
        <w:tc>
          <w:tcPr>
            <w:tcW w:w="1346" w:type="dxa"/>
            <w:tcBorders>
              <w:top w:val="nil"/>
              <w:left w:val="nil"/>
              <w:bottom w:val="nil"/>
              <w:right w:val="nil"/>
            </w:tcBorders>
            <w:shd w:val="clear" w:color="000000" w:fill="F2F2F2"/>
            <w:vAlign w:val="bottom"/>
          </w:tcPr>
          <w:p w:rsidRPr="003D7583" w:rsidR="00842389" w:rsidP="00C963B4" w:rsidRDefault="003D7583">
            <w:pPr>
              <w:jc w:val="right"/>
              <w:rPr>
                <w:rFonts w:ascii="Verdana" w:hAnsi="Verdana" w:cs="Calibri"/>
                <w:sz w:val="20"/>
              </w:rPr>
            </w:pPr>
            <w:r w:rsidRPr="003D7583">
              <w:rPr>
                <w:rFonts w:ascii="Verdana" w:hAnsi="Verdana" w:cs="Calibri"/>
                <w:sz w:val="20"/>
              </w:rPr>
              <w:t>2,</w:t>
            </w:r>
            <w:r w:rsidR="00C963B4">
              <w:rPr>
                <w:rFonts w:ascii="Verdana" w:hAnsi="Verdana" w:cs="Calibri"/>
                <w:sz w:val="20"/>
              </w:rPr>
              <w:t>587</w:t>
            </w:r>
            <w:r w:rsidRPr="003D7583" w:rsidR="00842389">
              <w:rPr>
                <w:rFonts w:ascii="Verdana" w:hAnsi="Verdana" w:cs="Calibri"/>
                <w:sz w:val="20"/>
              </w:rPr>
              <w:t xml:space="preserve"> </w:t>
            </w:r>
          </w:p>
        </w:tc>
        <w:tc>
          <w:tcPr>
            <w:tcW w:w="294" w:type="dxa"/>
            <w:tcBorders>
              <w:top w:val="nil"/>
              <w:left w:val="nil"/>
              <w:bottom w:val="nil"/>
              <w:right w:val="nil"/>
            </w:tcBorders>
            <w:shd w:val="clear" w:color="000000" w:fill="F2F2F2"/>
            <w:vAlign w:val="center"/>
            <w:hideMark/>
          </w:tcPr>
          <w:p w:rsidRPr="003D7583" w:rsidR="00842389" w:rsidP="000C7DB5" w:rsidRDefault="00842389">
            <w:pPr>
              <w:overflowPunct/>
              <w:autoSpaceDE/>
              <w:autoSpaceDN/>
              <w:adjustRightInd/>
              <w:jc w:val="right"/>
              <w:textAlignment w:val="auto"/>
              <w:rPr>
                <w:rFonts w:ascii="Verdana" w:hAnsi="Verdana" w:cs="Calibri"/>
                <w:color w:val="000000"/>
                <w:sz w:val="20"/>
                <w:lang w:eastAsia="en-GB"/>
              </w:rPr>
            </w:pPr>
            <w:r w:rsidRPr="003D7583">
              <w:rPr>
                <w:rFonts w:ascii="Verdana" w:hAnsi="Verdana" w:cs="Calibri"/>
                <w:color w:val="000000"/>
                <w:sz w:val="20"/>
                <w:lang w:eastAsia="en-GB"/>
              </w:rPr>
              <w:t> </w:t>
            </w:r>
          </w:p>
        </w:tc>
        <w:tc>
          <w:tcPr>
            <w:tcW w:w="1434" w:type="dxa"/>
            <w:tcBorders>
              <w:top w:val="nil"/>
              <w:left w:val="nil"/>
              <w:bottom w:val="nil"/>
              <w:right w:val="nil"/>
            </w:tcBorders>
            <w:shd w:val="clear" w:color="000000" w:fill="F2F2F2"/>
            <w:vAlign w:val="center"/>
          </w:tcPr>
          <w:p w:rsidRPr="003D7583" w:rsidR="00842389" w:rsidP="00C963B4" w:rsidRDefault="00842389">
            <w:pPr>
              <w:overflowPunct/>
              <w:autoSpaceDE/>
              <w:autoSpaceDN/>
              <w:adjustRightInd/>
              <w:jc w:val="right"/>
              <w:textAlignment w:val="auto"/>
              <w:rPr>
                <w:rFonts w:ascii="Verdana" w:hAnsi="Verdana" w:cs="Calibri"/>
                <w:color w:val="000000"/>
                <w:sz w:val="20"/>
                <w:lang w:eastAsia="en-GB"/>
              </w:rPr>
            </w:pPr>
            <w:r w:rsidRPr="003D7583">
              <w:rPr>
                <w:rFonts w:ascii="Verdana" w:hAnsi="Verdana" w:cs="Calibri"/>
                <w:color w:val="000000"/>
                <w:sz w:val="20"/>
                <w:lang w:eastAsia="en-GB"/>
              </w:rPr>
              <w:t>2,</w:t>
            </w:r>
            <w:r w:rsidR="00C963B4">
              <w:rPr>
                <w:rFonts w:ascii="Verdana" w:hAnsi="Verdana" w:cs="Calibri"/>
                <w:color w:val="000000"/>
                <w:sz w:val="20"/>
                <w:lang w:eastAsia="en-GB"/>
              </w:rPr>
              <w:t>558</w:t>
            </w:r>
          </w:p>
        </w:tc>
      </w:tr>
      <w:tr w:rsidRPr="008B41ED" w:rsidR="00842389" w:rsidTr="004E27BD">
        <w:trPr>
          <w:trHeight w:val="300"/>
        </w:trPr>
        <w:tc>
          <w:tcPr>
            <w:tcW w:w="6580" w:type="dxa"/>
            <w:tcBorders>
              <w:top w:val="nil"/>
              <w:left w:val="nil"/>
              <w:bottom w:val="nil"/>
              <w:right w:val="nil"/>
            </w:tcBorders>
            <w:shd w:val="clear" w:color="000000" w:fill="F2F2F2"/>
            <w:vAlign w:val="center"/>
            <w:hideMark/>
          </w:tcPr>
          <w:p w:rsidRPr="003D7583" w:rsidR="00842389" w:rsidP="000C7DB5" w:rsidRDefault="00842389">
            <w:pPr>
              <w:overflowPunct/>
              <w:autoSpaceDE/>
              <w:autoSpaceDN/>
              <w:adjustRightInd/>
              <w:jc w:val="left"/>
              <w:textAlignment w:val="auto"/>
              <w:rPr>
                <w:rFonts w:ascii="Verdana" w:hAnsi="Verdana" w:cs="Calibri"/>
                <w:b/>
                <w:bCs/>
                <w:color w:val="000000"/>
                <w:sz w:val="20"/>
                <w:lang w:eastAsia="en-GB"/>
              </w:rPr>
            </w:pPr>
            <w:r w:rsidRPr="003D7583">
              <w:rPr>
                <w:rFonts w:ascii="Verdana" w:hAnsi="Verdana" w:cs="Calibri"/>
                <w:b/>
                <w:bCs/>
                <w:color w:val="000000"/>
                <w:sz w:val="20"/>
                <w:lang w:eastAsia="en-GB"/>
              </w:rPr>
              <w:t>Total</w:t>
            </w:r>
          </w:p>
        </w:tc>
        <w:tc>
          <w:tcPr>
            <w:tcW w:w="1346" w:type="dxa"/>
            <w:tcBorders>
              <w:top w:val="single" w:color="auto" w:sz="4" w:space="0"/>
              <w:left w:val="nil"/>
              <w:bottom w:val="single" w:color="auto" w:sz="8" w:space="0"/>
              <w:right w:val="nil"/>
            </w:tcBorders>
            <w:shd w:val="clear" w:color="000000" w:fill="F2F2F2"/>
            <w:vAlign w:val="bottom"/>
          </w:tcPr>
          <w:p w:rsidRPr="003D7583" w:rsidR="00842389" w:rsidP="00C963B4" w:rsidRDefault="003D7583">
            <w:pPr>
              <w:jc w:val="right"/>
              <w:rPr>
                <w:rFonts w:ascii="Verdana" w:hAnsi="Verdana" w:cs="Calibri"/>
                <w:b/>
                <w:sz w:val="20"/>
              </w:rPr>
            </w:pPr>
            <w:r w:rsidRPr="003D7583">
              <w:rPr>
                <w:rFonts w:ascii="Verdana" w:hAnsi="Verdana" w:cs="Calibri"/>
                <w:b/>
                <w:sz w:val="20"/>
              </w:rPr>
              <w:t>19,</w:t>
            </w:r>
            <w:r w:rsidR="00C963B4">
              <w:rPr>
                <w:rFonts w:ascii="Verdana" w:hAnsi="Verdana" w:cs="Calibri"/>
                <w:b/>
                <w:sz w:val="20"/>
              </w:rPr>
              <w:t>820</w:t>
            </w:r>
            <w:r w:rsidRPr="003D7583" w:rsidR="00842389">
              <w:rPr>
                <w:rFonts w:ascii="Verdana" w:hAnsi="Verdana" w:cs="Calibri"/>
                <w:b/>
                <w:sz w:val="20"/>
              </w:rPr>
              <w:t xml:space="preserve"> </w:t>
            </w:r>
          </w:p>
        </w:tc>
        <w:tc>
          <w:tcPr>
            <w:tcW w:w="294" w:type="dxa"/>
            <w:tcBorders>
              <w:top w:val="nil"/>
              <w:left w:val="nil"/>
              <w:bottom w:val="nil"/>
              <w:right w:val="nil"/>
            </w:tcBorders>
            <w:shd w:val="clear" w:color="000000" w:fill="F2F2F2"/>
            <w:vAlign w:val="center"/>
            <w:hideMark/>
          </w:tcPr>
          <w:p w:rsidRPr="003D7583" w:rsidR="00842389" w:rsidP="000C7DB5" w:rsidRDefault="00842389">
            <w:pPr>
              <w:overflowPunct/>
              <w:autoSpaceDE/>
              <w:autoSpaceDN/>
              <w:adjustRightInd/>
              <w:jc w:val="right"/>
              <w:textAlignment w:val="auto"/>
              <w:rPr>
                <w:rFonts w:ascii="Verdana" w:hAnsi="Verdana" w:cs="Calibri"/>
                <w:b/>
                <w:bCs/>
                <w:color w:val="000000"/>
                <w:sz w:val="20"/>
                <w:lang w:eastAsia="en-GB"/>
              </w:rPr>
            </w:pPr>
            <w:r w:rsidRPr="003D7583">
              <w:rPr>
                <w:rFonts w:ascii="Verdana" w:hAnsi="Verdana" w:cs="Calibri"/>
                <w:b/>
                <w:bCs/>
                <w:color w:val="000000"/>
                <w:sz w:val="20"/>
                <w:lang w:eastAsia="en-GB"/>
              </w:rPr>
              <w:t> </w:t>
            </w:r>
          </w:p>
        </w:tc>
        <w:tc>
          <w:tcPr>
            <w:tcW w:w="1434" w:type="dxa"/>
            <w:tcBorders>
              <w:top w:val="single" w:color="auto" w:sz="4" w:space="0"/>
              <w:left w:val="nil"/>
              <w:bottom w:val="single" w:color="auto" w:sz="8" w:space="0"/>
              <w:right w:val="nil"/>
            </w:tcBorders>
            <w:shd w:val="clear" w:color="000000" w:fill="F2F2F2"/>
            <w:vAlign w:val="center"/>
          </w:tcPr>
          <w:p w:rsidRPr="003D7583" w:rsidR="00842389" w:rsidP="00C963B4" w:rsidRDefault="00842389">
            <w:pPr>
              <w:overflowPunct/>
              <w:autoSpaceDE/>
              <w:autoSpaceDN/>
              <w:adjustRightInd/>
              <w:jc w:val="right"/>
              <w:textAlignment w:val="auto"/>
              <w:rPr>
                <w:rFonts w:ascii="Verdana" w:hAnsi="Verdana" w:cs="Calibri"/>
                <w:b/>
                <w:bCs/>
                <w:color w:val="000000"/>
                <w:sz w:val="20"/>
                <w:lang w:eastAsia="en-GB"/>
              </w:rPr>
            </w:pPr>
            <w:r w:rsidRPr="003D7583">
              <w:rPr>
                <w:rFonts w:ascii="Verdana" w:hAnsi="Verdana" w:cs="Calibri"/>
                <w:b/>
                <w:bCs/>
                <w:color w:val="000000"/>
                <w:sz w:val="20"/>
                <w:lang w:eastAsia="en-GB"/>
              </w:rPr>
              <w:t>1</w:t>
            </w:r>
            <w:r w:rsidR="00C963B4">
              <w:rPr>
                <w:rFonts w:ascii="Verdana" w:hAnsi="Verdana" w:cs="Calibri"/>
                <w:b/>
                <w:bCs/>
                <w:color w:val="000000"/>
                <w:sz w:val="20"/>
                <w:lang w:eastAsia="en-GB"/>
              </w:rPr>
              <w:t>9</w:t>
            </w:r>
            <w:r w:rsidRPr="003D7583">
              <w:rPr>
                <w:rFonts w:ascii="Verdana" w:hAnsi="Verdana" w:cs="Calibri"/>
                <w:b/>
                <w:bCs/>
                <w:color w:val="000000"/>
                <w:sz w:val="20"/>
                <w:lang w:eastAsia="en-GB"/>
              </w:rPr>
              <w:t>,</w:t>
            </w:r>
            <w:r w:rsidR="00C963B4">
              <w:rPr>
                <w:rFonts w:ascii="Verdana" w:hAnsi="Verdana" w:cs="Calibri"/>
                <w:b/>
                <w:bCs/>
                <w:color w:val="000000"/>
                <w:sz w:val="20"/>
                <w:lang w:eastAsia="en-GB"/>
              </w:rPr>
              <w:t>441</w:t>
            </w:r>
          </w:p>
        </w:tc>
      </w:tr>
    </w:tbl>
    <w:p w:rsidRPr="008B41ED" w:rsidR="0084166D" w:rsidP="00E9305A" w:rsidRDefault="0084166D">
      <w:pPr>
        <w:pStyle w:val="Heading1"/>
        <w:numPr>
          <w:ilvl w:val="0"/>
          <w:numId w:val="0"/>
        </w:numPr>
        <w:rPr>
          <w:rFonts w:ascii="Verdana" w:hAnsi="Verdana" w:cs="Arial"/>
          <w:b w:val="0"/>
          <w:highlight w:val="yellow"/>
        </w:rPr>
      </w:pPr>
    </w:p>
    <w:p w:rsidRPr="00322DAA" w:rsidR="0043184D" w:rsidP="00E9305A" w:rsidRDefault="00AF4640">
      <w:pPr>
        <w:pStyle w:val="Heading1"/>
        <w:numPr>
          <w:ilvl w:val="0"/>
          <w:numId w:val="0"/>
        </w:numPr>
        <w:rPr>
          <w:rFonts w:ascii="Verdana" w:hAnsi="Verdana" w:cs="Arial"/>
          <w:b w:val="0"/>
        </w:rPr>
      </w:pPr>
      <w:r w:rsidRPr="00322DAA">
        <w:rPr>
          <w:rFonts w:ascii="Verdana" w:hAnsi="Verdana" w:cs="Arial"/>
          <w:b w:val="0"/>
        </w:rPr>
        <w:t>T</w:t>
      </w:r>
      <w:r w:rsidRPr="00322DAA" w:rsidR="00E9305A">
        <w:rPr>
          <w:rFonts w:ascii="Verdana" w:hAnsi="Verdana" w:cs="Arial"/>
          <w:b w:val="0"/>
        </w:rPr>
        <w:t>he emoluments of the highest paid employee amounted to £</w:t>
      </w:r>
      <w:r w:rsidRPr="00C64B8A" w:rsidR="0084166D">
        <w:rPr>
          <w:rFonts w:ascii="Verdana" w:hAnsi="Verdana" w:cs="Arial"/>
          <w:b w:val="0"/>
        </w:rPr>
        <w:t>1</w:t>
      </w:r>
      <w:r w:rsidRPr="00C64B8A" w:rsidR="00C64B8A">
        <w:rPr>
          <w:rFonts w:ascii="Verdana" w:hAnsi="Verdana" w:cs="Arial"/>
          <w:b w:val="0"/>
        </w:rPr>
        <w:t>45</w:t>
      </w:r>
      <w:r w:rsidRPr="00C64B8A" w:rsidR="0084166D">
        <w:rPr>
          <w:rFonts w:ascii="Verdana" w:hAnsi="Verdana" w:cs="Arial"/>
          <w:b w:val="0"/>
        </w:rPr>
        <w:t>,</w:t>
      </w:r>
      <w:r w:rsidRPr="00C64B8A" w:rsidR="00C64B8A">
        <w:rPr>
          <w:rFonts w:ascii="Verdana" w:hAnsi="Verdana" w:cs="Arial"/>
          <w:b w:val="0"/>
        </w:rPr>
        <w:t>002</w:t>
      </w:r>
      <w:r w:rsidRPr="00322DAA" w:rsidR="00322DAA">
        <w:rPr>
          <w:rFonts w:ascii="Verdana" w:hAnsi="Verdana" w:cs="Arial"/>
          <w:b w:val="0"/>
        </w:rPr>
        <w:t xml:space="preserve"> (201</w:t>
      </w:r>
      <w:r w:rsidR="00733A86">
        <w:rPr>
          <w:rFonts w:ascii="Verdana" w:hAnsi="Verdana" w:cs="Arial"/>
          <w:b w:val="0"/>
        </w:rPr>
        <w:t>6</w:t>
      </w:r>
      <w:r w:rsidRPr="00322DAA" w:rsidR="007315EB">
        <w:rPr>
          <w:rFonts w:ascii="Verdana" w:hAnsi="Verdana" w:cs="Arial"/>
          <w:b w:val="0"/>
        </w:rPr>
        <w:t>-1</w:t>
      </w:r>
      <w:r w:rsidR="00733A86">
        <w:rPr>
          <w:rFonts w:ascii="Verdana" w:hAnsi="Verdana" w:cs="Arial"/>
          <w:b w:val="0"/>
        </w:rPr>
        <w:t>7</w:t>
      </w:r>
      <w:r w:rsidRPr="00322DAA" w:rsidR="007315EB">
        <w:rPr>
          <w:rFonts w:ascii="Verdana" w:hAnsi="Verdana" w:cs="Arial"/>
          <w:b w:val="0"/>
        </w:rPr>
        <w:t xml:space="preserve">: </w:t>
      </w:r>
      <w:r w:rsidRPr="00322DAA" w:rsidR="00F142FC">
        <w:rPr>
          <w:rFonts w:ascii="Verdana" w:hAnsi="Verdana" w:cs="Arial"/>
          <w:b w:val="0"/>
        </w:rPr>
        <w:t>£</w:t>
      </w:r>
      <w:r w:rsidRPr="00322DAA" w:rsidR="00082DAE">
        <w:rPr>
          <w:rFonts w:ascii="Verdana" w:hAnsi="Verdana" w:cs="Arial"/>
          <w:b w:val="0"/>
        </w:rPr>
        <w:t>1</w:t>
      </w:r>
      <w:r w:rsidRPr="00322DAA" w:rsidR="00322DAA">
        <w:rPr>
          <w:rFonts w:ascii="Verdana" w:hAnsi="Verdana" w:cs="Arial"/>
          <w:b w:val="0"/>
        </w:rPr>
        <w:t>3</w:t>
      </w:r>
      <w:r w:rsidR="00A82526">
        <w:rPr>
          <w:rFonts w:ascii="Verdana" w:hAnsi="Verdana" w:cs="Arial"/>
          <w:b w:val="0"/>
        </w:rPr>
        <w:t>0</w:t>
      </w:r>
      <w:r w:rsidRPr="00322DAA" w:rsidR="00322DAA">
        <w:rPr>
          <w:rFonts w:ascii="Verdana" w:hAnsi="Verdana" w:cs="Arial"/>
          <w:b w:val="0"/>
        </w:rPr>
        <w:t>,</w:t>
      </w:r>
      <w:r w:rsidR="00A82526">
        <w:rPr>
          <w:rFonts w:ascii="Verdana" w:hAnsi="Verdana" w:cs="Arial"/>
          <w:b w:val="0"/>
        </w:rPr>
        <w:t>000</w:t>
      </w:r>
      <w:r w:rsidRPr="00322DAA" w:rsidR="00FC7ADF">
        <w:rPr>
          <w:rFonts w:ascii="Verdana" w:hAnsi="Verdana" w:cs="Arial"/>
          <w:b w:val="0"/>
        </w:rPr>
        <w:t>)</w:t>
      </w:r>
      <w:r w:rsidRPr="00322DAA" w:rsidR="00617ED4">
        <w:rPr>
          <w:rFonts w:ascii="Verdana" w:hAnsi="Verdana" w:cs="Arial"/>
          <w:b w:val="0"/>
        </w:rPr>
        <w:t xml:space="preserve"> excluding employer</w:t>
      </w:r>
      <w:r w:rsidRPr="00322DAA" w:rsidR="00682D30">
        <w:rPr>
          <w:rFonts w:ascii="Verdana" w:hAnsi="Verdana" w:cs="Arial"/>
          <w:b w:val="0"/>
        </w:rPr>
        <w:t>’</w:t>
      </w:r>
      <w:r w:rsidRPr="00322DAA" w:rsidR="009069A8">
        <w:rPr>
          <w:rFonts w:ascii="Verdana" w:hAnsi="Verdana" w:cs="Arial"/>
          <w:b w:val="0"/>
        </w:rPr>
        <w:t xml:space="preserve">s pension contributions </w:t>
      </w:r>
      <w:r w:rsidRPr="00322DAA" w:rsidR="00617ED4">
        <w:rPr>
          <w:rFonts w:ascii="Verdana" w:hAnsi="Verdana" w:cs="Arial"/>
          <w:b w:val="0"/>
        </w:rPr>
        <w:t xml:space="preserve">of </w:t>
      </w:r>
      <w:r w:rsidRPr="00322DAA" w:rsidR="00C12A6E">
        <w:rPr>
          <w:rFonts w:ascii="Verdana" w:hAnsi="Verdana" w:cs="Arial"/>
          <w:b w:val="0"/>
        </w:rPr>
        <w:t>£</w:t>
      </w:r>
      <w:r w:rsidRPr="00913A2D" w:rsidR="00913A2D">
        <w:rPr>
          <w:rFonts w:ascii="Verdana" w:hAnsi="Verdana" w:cs="Arial"/>
          <w:b w:val="0"/>
        </w:rPr>
        <w:t>26</w:t>
      </w:r>
      <w:r w:rsidRPr="00913A2D" w:rsidR="00F16570">
        <w:rPr>
          <w:rFonts w:ascii="Verdana" w:hAnsi="Verdana" w:cs="Arial"/>
          <w:b w:val="0"/>
        </w:rPr>
        <w:t>,</w:t>
      </w:r>
      <w:r w:rsidRPr="00913A2D" w:rsidR="00913A2D">
        <w:rPr>
          <w:rFonts w:ascii="Verdana" w:hAnsi="Verdana" w:cs="Arial"/>
          <w:b w:val="0"/>
        </w:rPr>
        <w:t>680</w:t>
      </w:r>
      <w:r w:rsidRPr="00322DAA" w:rsidR="00E9305A">
        <w:rPr>
          <w:rFonts w:ascii="Verdana" w:hAnsi="Verdana" w:cs="Arial"/>
          <w:b w:val="0"/>
        </w:rPr>
        <w:t xml:space="preserve"> (</w:t>
      </w:r>
      <w:r w:rsidRPr="00322DAA" w:rsidR="0084166D">
        <w:rPr>
          <w:rFonts w:ascii="Verdana" w:hAnsi="Verdana" w:cs="Arial"/>
          <w:b w:val="0"/>
        </w:rPr>
        <w:t>201</w:t>
      </w:r>
      <w:r w:rsidR="00733A86">
        <w:rPr>
          <w:rFonts w:ascii="Verdana" w:hAnsi="Verdana" w:cs="Arial"/>
          <w:b w:val="0"/>
        </w:rPr>
        <w:t>6</w:t>
      </w:r>
      <w:r w:rsidRPr="00322DAA" w:rsidR="0084166D">
        <w:rPr>
          <w:rFonts w:ascii="Verdana" w:hAnsi="Verdana" w:cs="Arial"/>
          <w:b w:val="0"/>
        </w:rPr>
        <w:t>-1</w:t>
      </w:r>
      <w:r w:rsidR="00733A86">
        <w:rPr>
          <w:rFonts w:ascii="Verdana" w:hAnsi="Verdana" w:cs="Arial"/>
          <w:b w:val="0"/>
        </w:rPr>
        <w:t>7</w:t>
      </w:r>
      <w:r w:rsidRPr="00322DAA" w:rsidR="007315EB">
        <w:rPr>
          <w:rFonts w:ascii="Verdana" w:hAnsi="Verdana" w:cs="Arial"/>
          <w:b w:val="0"/>
        </w:rPr>
        <w:t>:</w:t>
      </w:r>
      <w:r w:rsidRPr="00322DAA" w:rsidR="00E9305A">
        <w:rPr>
          <w:rFonts w:ascii="Verdana" w:hAnsi="Verdana" w:cs="Arial"/>
          <w:b w:val="0"/>
        </w:rPr>
        <w:t xml:space="preserve"> </w:t>
      </w:r>
      <w:r w:rsidRPr="00322DAA" w:rsidR="00BB4D59">
        <w:rPr>
          <w:rFonts w:ascii="Verdana" w:hAnsi="Verdana" w:cs="Arial"/>
          <w:b w:val="0"/>
        </w:rPr>
        <w:t>£</w:t>
      </w:r>
      <w:r w:rsidRPr="00322DAA" w:rsidR="00322DAA">
        <w:rPr>
          <w:rFonts w:ascii="Verdana" w:hAnsi="Verdana" w:cs="Arial"/>
          <w:b w:val="0"/>
        </w:rPr>
        <w:t>30</w:t>
      </w:r>
      <w:r w:rsidRPr="00322DAA" w:rsidR="00082DAE">
        <w:rPr>
          <w:rFonts w:ascii="Verdana" w:hAnsi="Verdana" w:cs="Arial"/>
          <w:b w:val="0"/>
        </w:rPr>
        <w:t>,</w:t>
      </w:r>
      <w:r w:rsidRPr="00322DAA" w:rsidR="00322DAA">
        <w:rPr>
          <w:rFonts w:ascii="Verdana" w:hAnsi="Verdana" w:cs="Arial"/>
          <w:b w:val="0"/>
        </w:rPr>
        <w:t>030</w:t>
      </w:r>
      <w:r w:rsidRPr="00322DAA" w:rsidR="00E9305A">
        <w:rPr>
          <w:rFonts w:ascii="Verdana" w:hAnsi="Verdana" w:cs="Arial"/>
          <w:b w:val="0"/>
        </w:rPr>
        <w:t>).</w:t>
      </w:r>
      <w:r w:rsidRPr="00913A2D" w:rsidR="00913A2D">
        <w:t xml:space="preserve"> </w:t>
      </w:r>
    </w:p>
    <w:p w:rsidRPr="00322DAA" w:rsidR="00D13282" w:rsidP="00D13282" w:rsidRDefault="00692E96">
      <w:pPr>
        <w:pStyle w:val="Heading1"/>
        <w:numPr>
          <w:ilvl w:val="0"/>
          <w:numId w:val="0"/>
        </w:numPr>
        <w:rPr>
          <w:rFonts w:ascii="Verdana" w:hAnsi="Verdana" w:cs="Arial"/>
          <w:b w:val="0"/>
        </w:rPr>
      </w:pPr>
      <w:r w:rsidRPr="00322DAA">
        <w:rPr>
          <w:rFonts w:ascii="Verdana" w:hAnsi="Verdana" w:cs="Arial"/>
          <w:b w:val="0"/>
        </w:rPr>
        <w:t xml:space="preserve">The highest paid employee </w:t>
      </w:r>
      <w:r w:rsidRPr="00322DAA" w:rsidR="0043184D">
        <w:rPr>
          <w:rFonts w:ascii="Verdana" w:hAnsi="Verdana" w:cs="Arial"/>
          <w:b w:val="0"/>
        </w:rPr>
        <w:t>received emoluments</w:t>
      </w:r>
      <w:r w:rsidRPr="00322DAA">
        <w:rPr>
          <w:rFonts w:ascii="Verdana" w:hAnsi="Verdana" w:cs="Arial"/>
          <w:b w:val="0"/>
        </w:rPr>
        <w:t xml:space="preserve"> </w:t>
      </w:r>
      <w:r w:rsidRPr="00913A2D" w:rsidR="00913A2D">
        <w:rPr>
          <w:rFonts w:ascii="Verdana" w:hAnsi="Verdana" w:cs="Arial"/>
          <w:b w:val="0"/>
        </w:rPr>
        <w:t>6.8</w:t>
      </w:r>
      <w:r w:rsidRPr="00913A2D" w:rsidR="00322DAA">
        <w:rPr>
          <w:rFonts w:ascii="Verdana" w:hAnsi="Verdana" w:cs="Arial"/>
          <w:b w:val="0"/>
        </w:rPr>
        <w:t>2</w:t>
      </w:r>
      <w:r w:rsidRPr="00322DAA">
        <w:rPr>
          <w:rFonts w:ascii="Verdana" w:hAnsi="Verdana" w:cs="Arial"/>
          <w:b w:val="0"/>
        </w:rPr>
        <w:t xml:space="preserve"> times that of the lowest paid </w:t>
      </w:r>
      <w:r w:rsidRPr="00322DAA" w:rsidR="0084166D">
        <w:rPr>
          <w:rFonts w:ascii="Verdana" w:hAnsi="Verdana" w:cs="Arial"/>
          <w:b w:val="0"/>
        </w:rPr>
        <w:t xml:space="preserve">full time </w:t>
      </w:r>
      <w:r w:rsidRPr="00322DAA">
        <w:rPr>
          <w:rFonts w:ascii="Verdana" w:hAnsi="Verdana" w:cs="Arial"/>
          <w:b w:val="0"/>
        </w:rPr>
        <w:t>employee.</w:t>
      </w:r>
    </w:p>
    <w:p w:rsidRPr="00322DAA" w:rsidR="0084166D" w:rsidP="0084166D" w:rsidRDefault="0084166D"/>
    <w:p w:rsidRPr="00322DAA" w:rsidR="0084166D" w:rsidP="00D13282" w:rsidRDefault="00D13282">
      <w:pPr>
        <w:rPr>
          <w:rFonts w:ascii="Verdana" w:hAnsi="Verdana"/>
          <w:sz w:val="20"/>
        </w:rPr>
      </w:pPr>
      <w:bookmarkStart w:name="_6._Other_interest" w:id="89"/>
      <w:bookmarkEnd w:id="89"/>
      <w:r w:rsidRPr="00322DAA">
        <w:rPr>
          <w:rFonts w:ascii="Verdana" w:hAnsi="Verdana"/>
          <w:sz w:val="20"/>
        </w:rPr>
        <w:t>During the 201</w:t>
      </w:r>
      <w:r w:rsidR="00733A86">
        <w:rPr>
          <w:rFonts w:ascii="Verdana" w:hAnsi="Verdana"/>
          <w:sz w:val="20"/>
        </w:rPr>
        <w:t>7</w:t>
      </w:r>
      <w:r w:rsidRPr="00322DAA">
        <w:rPr>
          <w:rFonts w:ascii="Verdana" w:hAnsi="Verdana"/>
          <w:sz w:val="20"/>
        </w:rPr>
        <w:t>-1</w:t>
      </w:r>
      <w:r w:rsidR="00733A86">
        <w:rPr>
          <w:rFonts w:ascii="Verdana" w:hAnsi="Verdana"/>
          <w:sz w:val="20"/>
        </w:rPr>
        <w:t>8</w:t>
      </w:r>
      <w:r w:rsidRPr="00322DAA">
        <w:rPr>
          <w:rFonts w:ascii="Verdana" w:hAnsi="Verdana"/>
          <w:sz w:val="20"/>
        </w:rPr>
        <w:t xml:space="preserve"> financial year </w:t>
      </w:r>
      <w:r w:rsidR="00733A86">
        <w:rPr>
          <w:rFonts w:ascii="Verdana" w:hAnsi="Verdana"/>
          <w:sz w:val="20"/>
        </w:rPr>
        <w:t>there were</w:t>
      </w:r>
      <w:r w:rsidRPr="00322DAA" w:rsidR="008845F7">
        <w:rPr>
          <w:rFonts w:ascii="Verdana" w:hAnsi="Verdana"/>
          <w:sz w:val="20"/>
        </w:rPr>
        <w:t xml:space="preserve"> </w:t>
      </w:r>
      <w:r w:rsidR="00B66F4B">
        <w:rPr>
          <w:rFonts w:ascii="Verdana" w:hAnsi="Verdana"/>
          <w:sz w:val="20"/>
        </w:rPr>
        <w:t>23</w:t>
      </w:r>
      <w:r w:rsidRPr="00322DAA" w:rsidR="008845F7">
        <w:rPr>
          <w:rFonts w:ascii="Verdana" w:hAnsi="Verdana"/>
          <w:sz w:val="20"/>
        </w:rPr>
        <w:t xml:space="preserve"> payment of t</w:t>
      </w:r>
      <w:r w:rsidRPr="00322DAA">
        <w:rPr>
          <w:rFonts w:ascii="Verdana" w:hAnsi="Verdana"/>
          <w:sz w:val="20"/>
        </w:rPr>
        <w:t>ermination benefits by the Company amounting to £</w:t>
      </w:r>
      <w:r w:rsidR="00B66F4B">
        <w:rPr>
          <w:rFonts w:ascii="Verdana" w:hAnsi="Verdana"/>
          <w:sz w:val="20"/>
        </w:rPr>
        <w:t>1,34</w:t>
      </w:r>
      <w:r w:rsidR="00670669">
        <w:rPr>
          <w:rFonts w:ascii="Verdana" w:hAnsi="Verdana"/>
          <w:sz w:val="20"/>
        </w:rPr>
        <w:t>6</w:t>
      </w:r>
      <w:r w:rsidR="00B66F4B">
        <w:rPr>
          <w:rFonts w:ascii="Verdana" w:hAnsi="Verdana"/>
          <w:sz w:val="20"/>
        </w:rPr>
        <w:t>K</w:t>
      </w:r>
      <w:r w:rsidRPr="00322DAA">
        <w:rPr>
          <w:rFonts w:ascii="Verdana" w:hAnsi="Verdana"/>
          <w:sz w:val="20"/>
        </w:rPr>
        <w:t xml:space="preserve"> (201</w:t>
      </w:r>
      <w:r w:rsidR="00733A86">
        <w:rPr>
          <w:rFonts w:ascii="Verdana" w:hAnsi="Verdana"/>
          <w:sz w:val="20"/>
        </w:rPr>
        <w:t>6</w:t>
      </w:r>
      <w:r w:rsidRPr="00322DAA">
        <w:rPr>
          <w:rFonts w:ascii="Verdana" w:hAnsi="Verdana"/>
          <w:sz w:val="20"/>
        </w:rPr>
        <w:t>-1</w:t>
      </w:r>
      <w:r w:rsidR="00733A86">
        <w:rPr>
          <w:rFonts w:ascii="Verdana" w:hAnsi="Verdana"/>
          <w:sz w:val="20"/>
        </w:rPr>
        <w:t>7</w:t>
      </w:r>
      <w:r w:rsidRPr="00322DAA">
        <w:rPr>
          <w:rFonts w:ascii="Verdana" w:hAnsi="Verdana"/>
          <w:sz w:val="20"/>
        </w:rPr>
        <w:t xml:space="preserve"> </w:t>
      </w:r>
      <w:r w:rsidR="00733A86">
        <w:rPr>
          <w:rFonts w:ascii="Verdana" w:hAnsi="Verdana"/>
          <w:sz w:val="20"/>
        </w:rPr>
        <w:t>17</w:t>
      </w:r>
      <w:r w:rsidRPr="00322DAA">
        <w:rPr>
          <w:rFonts w:ascii="Verdana" w:hAnsi="Verdana"/>
          <w:sz w:val="20"/>
        </w:rPr>
        <w:t xml:space="preserve"> payment</w:t>
      </w:r>
      <w:r w:rsidR="00733A86">
        <w:rPr>
          <w:rFonts w:ascii="Verdana" w:hAnsi="Verdana"/>
          <w:sz w:val="20"/>
        </w:rPr>
        <w:t>s</w:t>
      </w:r>
      <w:r w:rsidRPr="00322DAA">
        <w:rPr>
          <w:rFonts w:ascii="Verdana" w:hAnsi="Verdana"/>
          <w:sz w:val="20"/>
        </w:rPr>
        <w:t xml:space="preserve"> </w:t>
      </w:r>
      <w:r w:rsidR="00733A86">
        <w:rPr>
          <w:rFonts w:ascii="Verdana" w:hAnsi="Verdana"/>
          <w:sz w:val="20"/>
        </w:rPr>
        <w:t>amounting to</w:t>
      </w:r>
      <w:r w:rsidRPr="00322DAA">
        <w:rPr>
          <w:rFonts w:ascii="Verdana" w:hAnsi="Verdana"/>
          <w:sz w:val="20"/>
        </w:rPr>
        <w:t xml:space="preserve"> £</w:t>
      </w:r>
      <w:r w:rsidR="00733A86">
        <w:rPr>
          <w:rFonts w:ascii="Verdana" w:hAnsi="Verdana"/>
          <w:sz w:val="20"/>
        </w:rPr>
        <w:t>411</w:t>
      </w:r>
      <w:r w:rsidRPr="00322DAA" w:rsidR="0084166D">
        <w:rPr>
          <w:rFonts w:ascii="Verdana" w:hAnsi="Verdana"/>
          <w:sz w:val="20"/>
        </w:rPr>
        <w:t>k).</w:t>
      </w:r>
    </w:p>
    <w:p w:rsidRPr="00322DAA" w:rsidR="0084166D" w:rsidP="00D13282" w:rsidRDefault="0084166D">
      <w:pPr>
        <w:rPr>
          <w:rFonts w:ascii="Verdana" w:hAnsi="Verdana"/>
          <w:sz w:val="20"/>
        </w:rPr>
      </w:pPr>
    </w:p>
    <w:p w:rsidRPr="00322DAA" w:rsidR="00D13282" w:rsidP="00D13282" w:rsidRDefault="00D13282">
      <w:pPr>
        <w:rPr>
          <w:rFonts w:ascii="Calibri" w:hAnsi="Calibri"/>
          <w:sz w:val="20"/>
        </w:rPr>
      </w:pPr>
      <w:r w:rsidRPr="00322DAA">
        <w:rPr>
          <w:rFonts w:ascii="Verdana" w:hAnsi="Verdana"/>
          <w:sz w:val="20"/>
        </w:rPr>
        <w:t>No further termination</w:t>
      </w:r>
      <w:r w:rsidRPr="00322DAA" w:rsidR="008845F7">
        <w:rPr>
          <w:rFonts w:ascii="Verdana" w:hAnsi="Verdana"/>
          <w:sz w:val="20"/>
        </w:rPr>
        <w:t xml:space="preserve"> </w:t>
      </w:r>
      <w:r w:rsidRPr="00322DAA">
        <w:rPr>
          <w:rFonts w:ascii="Verdana" w:hAnsi="Verdana"/>
          <w:sz w:val="20"/>
        </w:rPr>
        <w:t>benefits were agreed in the year.</w:t>
      </w:r>
    </w:p>
    <w:p w:rsidRPr="0054543B" w:rsidR="00FC29BA" w:rsidP="00FC29BA" w:rsidRDefault="00FC29BA">
      <w:pPr>
        <w:pStyle w:val="Heading1"/>
        <w:numPr>
          <w:ilvl w:val="0"/>
          <w:numId w:val="0"/>
        </w:numPr>
        <w:rPr>
          <w:rFonts w:ascii="Verdana" w:hAnsi="Verdana" w:cs="Arial"/>
          <w:sz w:val="26"/>
          <w:szCs w:val="26"/>
        </w:rPr>
      </w:pPr>
      <w:r w:rsidRPr="00322DAA">
        <w:rPr>
          <w:rFonts w:ascii="Verdana" w:hAnsi="Verdana" w:cs="Arial"/>
        </w:rPr>
        <w:br w:type="page"/>
      </w:r>
      <w:r w:rsidRPr="0054543B">
        <w:rPr>
          <w:rFonts w:ascii="Verdana" w:hAnsi="Verdana" w:cs="Arial"/>
          <w:sz w:val="26"/>
          <w:szCs w:val="26"/>
        </w:rPr>
        <w:t>Notes - continued</w:t>
      </w:r>
    </w:p>
    <w:p w:rsidRPr="0054543B" w:rsidR="008845F7" w:rsidP="008845F7" w:rsidRDefault="00E9305A">
      <w:pPr>
        <w:pStyle w:val="Heading1"/>
        <w:numPr>
          <w:ilvl w:val="0"/>
          <w:numId w:val="0"/>
        </w:numPr>
        <w:rPr>
          <w:rFonts w:ascii="Verdana" w:hAnsi="Verdana" w:cs="Arial"/>
        </w:rPr>
      </w:pPr>
      <w:r w:rsidRPr="0054543B">
        <w:rPr>
          <w:rFonts w:ascii="Verdana" w:hAnsi="Verdana" w:cs="Arial"/>
        </w:rPr>
        <w:t xml:space="preserve">6. </w:t>
      </w:r>
      <w:r w:rsidRPr="0054543B" w:rsidR="008845F7">
        <w:rPr>
          <w:rFonts w:ascii="Verdana" w:hAnsi="Verdana" w:cs="Arial"/>
        </w:rPr>
        <w:t>I</w:t>
      </w:r>
      <w:r w:rsidRPr="0054543B">
        <w:rPr>
          <w:rFonts w:ascii="Verdana" w:hAnsi="Verdana" w:cs="Arial"/>
        </w:rPr>
        <w:t>nterest</w:t>
      </w:r>
      <w:r w:rsidRPr="0054543B" w:rsidR="008845F7">
        <w:rPr>
          <w:rFonts w:ascii="Verdana" w:hAnsi="Verdana" w:cs="Arial"/>
        </w:rPr>
        <w:t xml:space="preserve"> receivable and similar charges</w:t>
      </w:r>
    </w:p>
    <w:p w:rsidRPr="0054543B" w:rsidR="00510076" w:rsidP="00510076" w:rsidRDefault="00510076"/>
    <w:tbl>
      <w:tblPr>
        <w:tblW w:w="9800" w:type="dxa"/>
        <w:tblInd w:w="93" w:type="dxa"/>
        <w:tblLook w:val="04A0" w:firstRow="1" w:lastRow="0" w:firstColumn="1" w:lastColumn="0" w:noHBand="0" w:noVBand="1"/>
      </w:tblPr>
      <w:tblGrid>
        <w:gridCol w:w="6678"/>
        <w:gridCol w:w="1559"/>
        <w:gridCol w:w="287"/>
        <w:gridCol w:w="1276"/>
      </w:tblGrid>
      <w:tr w:rsidRPr="0054543B" w:rsidR="008845F7" w:rsidTr="00434062">
        <w:trPr>
          <w:trHeight w:val="300"/>
        </w:trPr>
        <w:tc>
          <w:tcPr>
            <w:tcW w:w="6678" w:type="dxa"/>
            <w:tcBorders>
              <w:top w:val="nil"/>
              <w:left w:val="nil"/>
              <w:bottom w:val="nil"/>
              <w:right w:val="nil"/>
            </w:tcBorders>
            <w:shd w:val="clear" w:color="000000" w:fill="F2F2F2"/>
            <w:noWrap/>
            <w:vAlign w:val="bottom"/>
            <w:hideMark/>
          </w:tcPr>
          <w:p w:rsidRPr="0054543B" w:rsidR="008845F7" w:rsidP="008845F7" w:rsidRDefault="008845F7">
            <w:pPr>
              <w:overflowPunct/>
              <w:autoSpaceDE/>
              <w:autoSpaceDN/>
              <w:adjustRightInd/>
              <w:jc w:val="left"/>
              <w:textAlignment w:val="auto"/>
              <w:rPr>
                <w:rFonts w:ascii="Verdana" w:hAnsi="Verdana" w:cs="Calibri"/>
                <w:color w:val="000000"/>
                <w:sz w:val="20"/>
                <w:lang w:eastAsia="en-GB"/>
              </w:rPr>
            </w:pPr>
            <w:r w:rsidRPr="0054543B">
              <w:rPr>
                <w:rFonts w:ascii="Verdana" w:hAnsi="Verdana" w:cs="Calibri"/>
                <w:color w:val="000000"/>
                <w:sz w:val="20"/>
                <w:lang w:eastAsia="en-GB"/>
              </w:rPr>
              <w:t> </w:t>
            </w:r>
          </w:p>
        </w:tc>
        <w:tc>
          <w:tcPr>
            <w:tcW w:w="1559" w:type="dxa"/>
            <w:tcBorders>
              <w:top w:val="nil"/>
              <w:left w:val="nil"/>
              <w:bottom w:val="nil"/>
              <w:right w:val="nil"/>
            </w:tcBorders>
            <w:shd w:val="clear" w:color="000000" w:fill="F2F2F2"/>
            <w:noWrap/>
            <w:vAlign w:val="bottom"/>
            <w:hideMark/>
          </w:tcPr>
          <w:p w:rsidRPr="0054543B" w:rsidR="008845F7" w:rsidP="000A7081" w:rsidRDefault="0054543B">
            <w:pPr>
              <w:overflowPunct/>
              <w:autoSpaceDE/>
              <w:autoSpaceDN/>
              <w:adjustRightInd/>
              <w:jc w:val="right"/>
              <w:textAlignment w:val="auto"/>
              <w:rPr>
                <w:rFonts w:ascii="Verdana" w:hAnsi="Verdana" w:cs="Calibri"/>
                <w:b/>
                <w:bCs/>
                <w:color w:val="000000"/>
                <w:sz w:val="20"/>
                <w:lang w:eastAsia="en-GB"/>
              </w:rPr>
            </w:pPr>
            <w:r w:rsidRPr="0054543B">
              <w:rPr>
                <w:rFonts w:ascii="Verdana" w:hAnsi="Verdana" w:cs="Calibri"/>
                <w:b/>
                <w:bCs/>
                <w:color w:val="000000"/>
                <w:sz w:val="20"/>
                <w:lang w:eastAsia="en-GB"/>
              </w:rPr>
              <w:t>201</w:t>
            </w:r>
            <w:r w:rsidR="000A7081">
              <w:rPr>
                <w:rFonts w:ascii="Verdana" w:hAnsi="Verdana" w:cs="Calibri"/>
                <w:b/>
                <w:bCs/>
                <w:color w:val="000000"/>
                <w:sz w:val="20"/>
                <w:lang w:eastAsia="en-GB"/>
              </w:rPr>
              <w:t>7</w:t>
            </w:r>
            <w:r w:rsidRPr="0054543B" w:rsidR="008845F7">
              <w:rPr>
                <w:rFonts w:ascii="Verdana" w:hAnsi="Verdana" w:cs="Calibri"/>
                <w:b/>
                <w:bCs/>
                <w:color w:val="000000"/>
                <w:sz w:val="20"/>
                <w:lang w:eastAsia="en-GB"/>
              </w:rPr>
              <w:t>-1</w:t>
            </w:r>
            <w:r w:rsidR="000A7081">
              <w:rPr>
                <w:rFonts w:ascii="Verdana" w:hAnsi="Verdana" w:cs="Calibri"/>
                <w:b/>
                <w:bCs/>
                <w:color w:val="000000"/>
                <w:sz w:val="20"/>
                <w:lang w:eastAsia="en-GB"/>
              </w:rPr>
              <w:t>8</w:t>
            </w:r>
          </w:p>
        </w:tc>
        <w:tc>
          <w:tcPr>
            <w:tcW w:w="287" w:type="dxa"/>
            <w:tcBorders>
              <w:top w:val="nil"/>
              <w:left w:val="nil"/>
              <w:bottom w:val="nil"/>
              <w:right w:val="nil"/>
            </w:tcBorders>
            <w:shd w:val="clear" w:color="000000" w:fill="F2F2F2"/>
            <w:noWrap/>
            <w:vAlign w:val="bottom"/>
            <w:hideMark/>
          </w:tcPr>
          <w:p w:rsidRPr="0054543B" w:rsidR="008845F7" w:rsidP="008845F7" w:rsidRDefault="008845F7">
            <w:pPr>
              <w:overflowPunct/>
              <w:autoSpaceDE/>
              <w:autoSpaceDN/>
              <w:adjustRightInd/>
              <w:jc w:val="right"/>
              <w:textAlignment w:val="auto"/>
              <w:rPr>
                <w:rFonts w:ascii="Verdana" w:hAnsi="Verdana" w:cs="Calibri"/>
                <w:b/>
                <w:bCs/>
                <w:color w:val="000000"/>
                <w:sz w:val="20"/>
                <w:lang w:eastAsia="en-GB"/>
              </w:rPr>
            </w:pPr>
            <w:r w:rsidRPr="0054543B">
              <w:rPr>
                <w:rFonts w:ascii="Verdana" w:hAnsi="Verdana" w:cs="Calibri"/>
                <w:b/>
                <w:bCs/>
                <w:color w:val="000000"/>
                <w:sz w:val="20"/>
                <w:lang w:eastAsia="en-GB"/>
              </w:rPr>
              <w:t> </w:t>
            </w:r>
          </w:p>
        </w:tc>
        <w:tc>
          <w:tcPr>
            <w:tcW w:w="1276" w:type="dxa"/>
            <w:tcBorders>
              <w:top w:val="nil"/>
              <w:left w:val="nil"/>
              <w:bottom w:val="nil"/>
              <w:right w:val="nil"/>
            </w:tcBorders>
            <w:shd w:val="clear" w:color="000000" w:fill="F2F2F2"/>
            <w:noWrap/>
            <w:vAlign w:val="bottom"/>
            <w:hideMark/>
          </w:tcPr>
          <w:p w:rsidRPr="0054543B" w:rsidR="008845F7" w:rsidP="000A7081" w:rsidRDefault="008845F7">
            <w:pPr>
              <w:overflowPunct/>
              <w:autoSpaceDE/>
              <w:autoSpaceDN/>
              <w:adjustRightInd/>
              <w:jc w:val="right"/>
              <w:textAlignment w:val="auto"/>
              <w:rPr>
                <w:rFonts w:ascii="Verdana" w:hAnsi="Verdana" w:cs="Calibri"/>
                <w:b/>
                <w:bCs/>
                <w:color w:val="000000"/>
                <w:sz w:val="20"/>
                <w:lang w:eastAsia="en-GB"/>
              </w:rPr>
            </w:pPr>
            <w:r w:rsidRPr="0054543B">
              <w:rPr>
                <w:rFonts w:ascii="Verdana" w:hAnsi="Verdana" w:cs="Calibri"/>
                <w:b/>
                <w:bCs/>
                <w:color w:val="000000"/>
                <w:sz w:val="20"/>
                <w:lang w:eastAsia="en-GB"/>
              </w:rPr>
              <w:t>201</w:t>
            </w:r>
            <w:r w:rsidR="000A7081">
              <w:rPr>
                <w:rFonts w:ascii="Verdana" w:hAnsi="Verdana" w:cs="Calibri"/>
                <w:b/>
                <w:bCs/>
                <w:color w:val="000000"/>
                <w:sz w:val="20"/>
                <w:lang w:eastAsia="en-GB"/>
              </w:rPr>
              <w:t>6</w:t>
            </w:r>
            <w:r w:rsidRPr="0054543B">
              <w:rPr>
                <w:rFonts w:ascii="Verdana" w:hAnsi="Verdana" w:cs="Calibri"/>
                <w:b/>
                <w:bCs/>
                <w:color w:val="000000"/>
                <w:sz w:val="20"/>
                <w:lang w:eastAsia="en-GB"/>
              </w:rPr>
              <w:t>-1</w:t>
            </w:r>
            <w:r w:rsidR="000A7081">
              <w:rPr>
                <w:rFonts w:ascii="Verdana" w:hAnsi="Verdana" w:cs="Calibri"/>
                <w:b/>
                <w:bCs/>
                <w:color w:val="000000"/>
                <w:sz w:val="20"/>
                <w:lang w:eastAsia="en-GB"/>
              </w:rPr>
              <w:t>7</w:t>
            </w:r>
          </w:p>
        </w:tc>
      </w:tr>
      <w:tr w:rsidRPr="0054543B" w:rsidR="00434062" w:rsidTr="00434062">
        <w:trPr>
          <w:trHeight w:val="300"/>
        </w:trPr>
        <w:tc>
          <w:tcPr>
            <w:tcW w:w="6678" w:type="dxa"/>
            <w:tcBorders>
              <w:top w:val="nil"/>
              <w:left w:val="nil"/>
              <w:bottom w:val="nil"/>
              <w:right w:val="nil"/>
            </w:tcBorders>
            <w:shd w:val="clear" w:color="000000" w:fill="F2F2F2"/>
            <w:noWrap/>
            <w:vAlign w:val="bottom"/>
            <w:hideMark/>
          </w:tcPr>
          <w:p w:rsidRPr="0054543B" w:rsidR="00434062" w:rsidP="008845F7" w:rsidRDefault="00434062">
            <w:pPr>
              <w:overflowPunct/>
              <w:autoSpaceDE/>
              <w:autoSpaceDN/>
              <w:adjustRightInd/>
              <w:jc w:val="left"/>
              <w:textAlignment w:val="auto"/>
              <w:rPr>
                <w:rFonts w:ascii="Verdana" w:hAnsi="Verdana" w:cs="Calibri"/>
                <w:color w:val="000000"/>
                <w:sz w:val="20"/>
                <w:lang w:eastAsia="en-GB"/>
              </w:rPr>
            </w:pPr>
            <w:r w:rsidRPr="0054543B">
              <w:rPr>
                <w:rFonts w:ascii="Verdana" w:hAnsi="Verdana" w:cs="Calibri"/>
                <w:color w:val="000000"/>
                <w:sz w:val="20"/>
                <w:lang w:eastAsia="en-GB"/>
              </w:rPr>
              <w:t> </w:t>
            </w:r>
          </w:p>
        </w:tc>
        <w:tc>
          <w:tcPr>
            <w:tcW w:w="1559" w:type="dxa"/>
            <w:tcBorders>
              <w:top w:val="nil"/>
              <w:left w:val="nil"/>
              <w:bottom w:val="nil"/>
              <w:right w:val="nil"/>
            </w:tcBorders>
            <w:shd w:val="clear" w:color="000000" w:fill="F2F2F2"/>
            <w:noWrap/>
            <w:vAlign w:val="bottom"/>
            <w:hideMark/>
          </w:tcPr>
          <w:p w:rsidRPr="00920F7B" w:rsidR="00434062" w:rsidP="00434062" w:rsidRDefault="00434062">
            <w:pPr>
              <w:overflowPunct/>
              <w:autoSpaceDE/>
              <w:autoSpaceDN/>
              <w:adjustRightInd/>
              <w:jc w:val="right"/>
              <w:textAlignment w:val="auto"/>
              <w:rPr>
                <w:rFonts w:ascii="Verdana" w:hAnsi="Verdana" w:cs="Calibri"/>
                <w:b/>
                <w:bCs/>
                <w:color w:val="000000"/>
                <w:sz w:val="20"/>
                <w:lang w:eastAsia="en-GB"/>
              </w:rPr>
            </w:pPr>
            <w:r w:rsidRPr="00920F7B">
              <w:rPr>
                <w:rFonts w:ascii="Verdana" w:hAnsi="Verdana" w:cs="Calibri"/>
                <w:b/>
                <w:bCs/>
                <w:color w:val="000000"/>
                <w:sz w:val="20"/>
                <w:lang w:eastAsia="en-GB"/>
              </w:rPr>
              <w:t>£</w:t>
            </w:r>
          </w:p>
        </w:tc>
        <w:tc>
          <w:tcPr>
            <w:tcW w:w="287" w:type="dxa"/>
            <w:tcBorders>
              <w:top w:val="nil"/>
              <w:left w:val="nil"/>
              <w:bottom w:val="nil"/>
              <w:right w:val="nil"/>
            </w:tcBorders>
            <w:shd w:val="clear" w:color="000000" w:fill="F2F2F2"/>
            <w:noWrap/>
            <w:vAlign w:val="bottom"/>
            <w:hideMark/>
          </w:tcPr>
          <w:p w:rsidRPr="0054543B" w:rsidR="00434062" w:rsidP="008845F7" w:rsidRDefault="00434062">
            <w:pPr>
              <w:overflowPunct/>
              <w:autoSpaceDE/>
              <w:autoSpaceDN/>
              <w:adjustRightInd/>
              <w:jc w:val="left"/>
              <w:textAlignment w:val="auto"/>
              <w:rPr>
                <w:rFonts w:ascii="Verdana" w:hAnsi="Verdana" w:cs="Calibri"/>
                <w:color w:val="000000"/>
                <w:sz w:val="20"/>
                <w:lang w:eastAsia="en-GB"/>
              </w:rPr>
            </w:pPr>
            <w:r w:rsidRPr="0054543B">
              <w:rPr>
                <w:rFonts w:ascii="Verdana" w:hAnsi="Verdana" w:cs="Calibri"/>
                <w:color w:val="000000"/>
                <w:sz w:val="20"/>
                <w:lang w:eastAsia="en-GB"/>
              </w:rPr>
              <w:t> </w:t>
            </w:r>
          </w:p>
        </w:tc>
        <w:tc>
          <w:tcPr>
            <w:tcW w:w="1276" w:type="dxa"/>
            <w:tcBorders>
              <w:top w:val="nil"/>
              <w:left w:val="nil"/>
              <w:bottom w:val="nil"/>
              <w:right w:val="nil"/>
            </w:tcBorders>
            <w:shd w:val="clear" w:color="000000" w:fill="F2F2F2"/>
            <w:noWrap/>
            <w:vAlign w:val="bottom"/>
            <w:hideMark/>
          </w:tcPr>
          <w:p w:rsidRPr="00920F7B" w:rsidR="00434062" w:rsidP="00434062" w:rsidRDefault="00434062">
            <w:pPr>
              <w:overflowPunct/>
              <w:autoSpaceDE/>
              <w:autoSpaceDN/>
              <w:adjustRightInd/>
              <w:jc w:val="right"/>
              <w:textAlignment w:val="auto"/>
              <w:rPr>
                <w:rFonts w:ascii="Verdana" w:hAnsi="Verdana" w:cs="Calibri"/>
                <w:b/>
                <w:bCs/>
                <w:color w:val="000000"/>
                <w:sz w:val="20"/>
                <w:lang w:eastAsia="en-GB"/>
              </w:rPr>
            </w:pPr>
            <w:r w:rsidRPr="00920F7B">
              <w:rPr>
                <w:rFonts w:ascii="Verdana" w:hAnsi="Verdana" w:cs="Calibri"/>
                <w:b/>
                <w:bCs/>
                <w:color w:val="000000"/>
                <w:sz w:val="20"/>
                <w:lang w:eastAsia="en-GB"/>
              </w:rPr>
              <w:t>£</w:t>
            </w:r>
          </w:p>
        </w:tc>
      </w:tr>
      <w:tr w:rsidRPr="002671BE" w:rsidR="00C963B4" w:rsidTr="00434062">
        <w:trPr>
          <w:trHeight w:val="300"/>
        </w:trPr>
        <w:tc>
          <w:tcPr>
            <w:tcW w:w="6678" w:type="dxa"/>
            <w:tcBorders>
              <w:top w:val="nil"/>
              <w:left w:val="nil"/>
              <w:bottom w:val="nil"/>
              <w:right w:val="nil"/>
            </w:tcBorders>
            <w:shd w:val="clear" w:color="000000" w:fill="F2F2F2"/>
            <w:noWrap/>
            <w:vAlign w:val="bottom"/>
            <w:hideMark/>
          </w:tcPr>
          <w:p w:rsidRPr="0054543B" w:rsidR="00C963B4" w:rsidP="008845F7" w:rsidRDefault="00C963B4">
            <w:pPr>
              <w:overflowPunct/>
              <w:autoSpaceDE/>
              <w:autoSpaceDN/>
              <w:adjustRightInd/>
              <w:jc w:val="left"/>
              <w:textAlignment w:val="auto"/>
              <w:rPr>
                <w:rFonts w:ascii="Verdana" w:hAnsi="Verdana" w:cs="Calibri"/>
                <w:color w:val="000000"/>
                <w:sz w:val="20"/>
                <w:lang w:eastAsia="en-GB"/>
              </w:rPr>
            </w:pPr>
            <w:r w:rsidRPr="0054543B">
              <w:rPr>
                <w:rFonts w:ascii="Verdana" w:hAnsi="Verdana" w:cs="Calibri"/>
                <w:color w:val="000000"/>
                <w:sz w:val="20"/>
                <w:lang w:eastAsia="en-GB"/>
              </w:rPr>
              <w:t>Interest receivable and similar income</w:t>
            </w:r>
          </w:p>
        </w:tc>
        <w:tc>
          <w:tcPr>
            <w:tcW w:w="1559" w:type="dxa"/>
            <w:tcBorders>
              <w:top w:val="nil"/>
              <w:left w:val="nil"/>
              <w:bottom w:val="nil"/>
              <w:right w:val="nil"/>
            </w:tcBorders>
            <w:shd w:val="clear" w:color="000000" w:fill="F2F2F2"/>
            <w:noWrap/>
            <w:vAlign w:val="bottom"/>
            <w:hideMark/>
          </w:tcPr>
          <w:p w:rsidRPr="002671BE" w:rsidR="00C963B4" w:rsidP="00C963B4" w:rsidRDefault="00C963B4">
            <w:pPr>
              <w:overflowPunct/>
              <w:autoSpaceDE/>
              <w:autoSpaceDN/>
              <w:adjustRightInd/>
              <w:jc w:val="right"/>
              <w:textAlignment w:val="auto"/>
              <w:rPr>
                <w:rFonts w:ascii="Verdana" w:hAnsi="Verdana" w:cs="Calibri"/>
                <w:sz w:val="20"/>
                <w:lang w:eastAsia="en-GB"/>
              </w:rPr>
            </w:pPr>
            <w:r>
              <w:rPr>
                <w:rFonts w:ascii="Verdana" w:hAnsi="Verdana" w:cs="Calibri"/>
                <w:sz w:val="20"/>
                <w:lang w:eastAsia="en-GB"/>
              </w:rPr>
              <w:t>43</w:t>
            </w:r>
            <w:r w:rsidRPr="002671BE">
              <w:rPr>
                <w:rFonts w:ascii="Verdana" w:hAnsi="Verdana" w:cs="Calibri"/>
                <w:sz w:val="20"/>
                <w:lang w:eastAsia="en-GB"/>
              </w:rPr>
              <w:t>,38</w:t>
            </w:r>
            <w:r>
              <w:rPr>
                <w:rFonts w:ascii="Verdana" w:hAnsi="Verdana" w:cs="Calibri"/>
                <w:sz w:val="20"/>
                <w:lang w:eastAsia="en-GB"/>
              </w:rPr>
              <w:t>8</w:t>
            </w:r>
          </w:p>
        </w:tc>
        <w:tc>
          <w:tcPr>
            <w:tcW w:w="287" w:type="dxa"/>
            <w:tcBorders>
              <w:top w:val="nil"/>
              <w:left w:val="nil"/>
              <w:bottom w:val="nil"/>
              <w:right w:val="nil"/>
            </w:tcBorders>
            <w:shd w:val="clear" w:color="000000" w:fill="F2F2F2"/>
            <w:noWrap/>
            <w:vAlign w:val="bottom"/>
            <w:hideMark/>
          </w:tcPr>
          <w:p w:rsidRPr="002671BE" w:rsidR="00C963B4" w:rsidP="008845F7" w:rsidRDefault="00C963B4">
            <w:pPr>
              <w:overflowPunct/>
              <w:autoSpaceDE/>
              <w:autoSpaceDN/>
              <w:adjustRightInd/>
              <w:jc w:val="left"/>
              <w:textAlignment w:val="auto"/>
              <w:rPr>
                <w:rFonts w:ascii="Verdana" w:hAnsi="Verdana" w:cs="Calibri"/>
                <w:sz w:val="20"/>
                <w:lang w:eastAsia="en-GB"/>
              </w:rPr>
            </w:pPr>
            <w:r w:rsidRPr="002671BE">
              <w:rPr>
                <w:rFonts w:ascii="Verdana" w:hAnsi="Verdana" w:cs="Calibri"/>
                <w:sz w:val="20"/>
                <w:lang w:eastAsia="en-GB"/>
              </w:rPr>
              <w:t> </w:t>
            </w:r>
          </w:p>
        </w:tc>
        <w:tc>
          <w:tcPr>
            <w:tcW w:w="1276" w:type="dxa"/>
            <w:tcBorders>
              <w:top w:val="nil"/>
              <w:left w:val="nil"/>
              <w:bottom w:val="nil"/>
              <w:right w:val="nil"/>
            </w:tcBorders>
            <w:shd w:val="clear" w:color="000000" w:fill="F2F2F2"/>
            <w:noWrap/>
            <w:vAlign w:val="bottom"/>
            <w:hideMark/>
          </w:tcPr>
          <w:p w:rsidRPr="002671BE" w:rsidR="00C963B4" w:rsidP="003B0A24" w:rsidRDefault="00C963B4">
            <w:pPr>
              <w:overflowPunct/>
              <w:autoSpaceDE/>
              <w:autoSpaceDN/>
              <w:adjustRightInd/>
              <w:jc w:val="right"/>
              <w:textAlignment w:val="auto"/>
              <w:rPr>
                <w:rFonts w:ascii="Verdana" w:hAnsi="Verdana" w:cs="Calibri"/>
                <w:sz w:val="20"/>
                <w:lang w:eastAsia="en-GB"/>
              </w:rPr>
            </w:pPr>
            <w:r w:rsidRPr="002671BE">
              <w:rPr>
                <w:rFonts w:ascii="Verdana" w:hAnsi="Verdana" w:cs="Calibri"/>
                <w:sz w:val="20"/>
                <w:lang w:eastAsia="en-GB"/>
              </w:rPr>
              <w:t>72,383</w:t>
            </w:r>
          </w:p>
        </w:tc>
      </w:tr>
      <w:tr w:rsidRPr="002671BE" w:rsidR="00C963B4" w:rsidTr="00434062">
        <w:trPr>
          <w:trHeight w:val="300"/>
        </w:trPr>
        <w:tc>
          <w:tcPr>
            <w:tcW w:w="6678" w:type="dxa"/>
            <w:tcBorders>
              <w:top w:val="nil"/>
              <w:left w:val="nil"/>
              <w:bottom w:val="nil"/>
              <w:right w:val="nil"/>
            </w:tcBorders>
            <w:shd w:val="clear" w:color="000000" w:fill="F2F2F2"/>
            <w:noWrap/>
            <w:vAlign w:val="bottom"/>
            <w:hideMark/>
          </w:tcPr>
          <w:p w:rsidRPr="0054543B" w:rsidR="00C963B4" w:rsidP="008845F7" w:rsidRDefault="00C963B4">
            <w:pPr>
              <w:overflowPunct/>
              <w:autoSpaceDE/>
              <w:autoSpaceDN/>
              <w:adjustRightInd/>
              <w:jc w:val="left"/>
              <w:textAlignment w:val="auto"/>
              <w:rPr>
                <w:rFonts w:ascii="Verdana" w:hAnsi="Verdana" w:cs="Calibri"/>
                <w:color w:val="000000"/>
                <w:sz w:val="20"/>
                <w:lang w:eastAsia="en-GB"/>
              </w:rPr>
            </w:pPr>
            <w:r w:rsidRPr="0054543B">
              <w:rPr>
                <w:rFonts w:ascii="Verdana" w:hAnsi="Verdana" w:cs="Calibri"/>
                <w:color w:val="000000"/>
                <w:sz w:val="20"/>
                <w:lang w:eastAsia="en-GB"/>
              </w:rPr>
              <w:t>Interest payable and similar charges</w:t>
            </w:r>
          </w:p>
        </w:tc>
        <w:tc>
          <w:tcPr>
            <w:tcW w:w="1559" w:type="dxa"/>
            <w:tcBorders>
              <w:top w:val="nil"/>
              <w:left w:val="nil"/>
              <w:bottom w:val="nil"/>
              <w:right w:val="nil"/>
            </w:tcBorders>
            <w:shd w:val="clear" w:color="000000" w:fill="F2F2F2"/>
            <w:noWrap/>
            <w:vAlign w:val="bottom"/>
            <w:hideMark/>
          </w:tcPr>
          <w:p w:rsidRPr="002671BE" w:rsidR="00C963B4" w:rsidP="00C963B4" w:rsidRDefault="00C963B4">
            <w:pPr>
              <w:overflowPunct/>
              <w:autoSpaceDE/>
              <w:autoSpaceDN/>
              <w:adjustRightInd/>
              <w:jc w:val="right"/>
              <w:textAlignment w:val="auto"/>
              <w:rPr>
                <w:rFonts w:ascii="Verdana" w:hAnsi="Verdana" w:cs="Calibri"/>
                <w:sz w:val="20"/>
                <w:lang w:eastAsia="en-GB"/>
              </w:rPr>
            </w:pPr>
            <w:r w:rsidRPr="002671BE">
              <w:rPr>
                <w:rFonts w:ascii="Verdana" w:hAnsi="Verdana" w:cs="Calibri"/>
                <w:sz w:val="20"/>
                <w:lang w:eastAsia="en-GB"/>
              </w:rPr>
              <w:t>(</w:t>
            </w:r>
            <w:r>
              <w:rPr>
                <w:rFonts w:ascii="Verdana" w:hAnsi="Verdana" w:cs="Calibri"/>
                <w:sz w:val="20"/>
                <w:lang w:eastAsia="en-GB"/>
              </w:rPr>
              <w:t>47</w:t>
            </w:r>
            <w:r w:rsidRPr="002671BE">
              <w:rPr>
                <w:rFonts w:ascii="Verdana" w:hAnsi="Verdana" w:cs="Calibri"/>
                <w:sz w:val="20"/>
                <w:lang w:eastAsia="en-GB"/>
              </w:rPr>
              <w:t>,000)</w:t>
            </w:r>
          </w:p>
        </w:tc>
        <w:tc>
          <w:tcPr>
            <w:tcW w:w="287" w:type="dxa"/>
            <w:tcBorders>
              <w:top w:val="nil"/>
              <w:left w:val="nil"/>
              <w:bottom w:val="nil"/>
              <w:right w:val="nil"/>
            </w:tcBorders>
            <w:shd w:val="clear" w:color="000000" w:fill="F2F2F2"/>
            <w:noWrap/>
            <w:vAlign w:val="bottom"/>
            <w:hideMark/>
          </w:tcPr>
          <w:p w:rsidRPr="002671BE" w:rsidR="00C963B4" w:rsidP="008845F7" w:rsidRDefault="00C963B4">
            <w:pPr>
              <w:overflowPunct/>
              <w:autoSpaceDE/>
              <w:autoSpaceDN/>
              <w:adjustRightInd/>
              <w:jc w:val="left"/>
              <w:textAlignment w:val="auto"/>
              <w:rPr>
                <w:rFonts w:ascii="Verdana" w:hAnsi="Verdana" w:cs="Calibri"/>
                <w:sz w:val="20"/>
                <w:lang w:eastAsia="en-GB"/>
              </w:rPr>
            </w:pPr>
            <w:r w:rsidRPr="002671BE">
              <w:rPr>
                <w:rFonts w:ascii="Verdana" w:hAnsi="Verdana" w:cs="Calibri"/>
                <w:sz w:val="20"/>
                <w:lang w:eastAsia="en-GB"/>
              </w:rPr>
              <w:t> </w:t>
            </w:r>
          </w:p>
        </w:tc>
        <w:tc>
          <w:tcPr>
            <w:tcW w:w="1276" w:type="dxa"/>
            <w:tcBorders>
              <w:top w:val="nil"/>
              <w:left w:val="nil"/>
              <w:bottom w:val="nil"/>
              <w:right w:val="nil"/>
            </w:tcBorders>
            <w:shd w:val="clear" w:color="000000" w:fill="F2F2F2"/>
            <w:noWrap/>
            <w:vAlign w:val="bottom"/>
            <w:hideMark/>
          </w:tcPr>
          <w:p w:rsidRPr="002671BE" w:rsidR="00C963B4" w:rsidP="003B0A24" w:rsidRDefault="00C963B4">
            <w:pPr>
              <w:overflowPunct/>
              <w:autoSpaceDE/>
              <w:autoSpaceDN/>
              <w:adjustRightInd/>
              <w:jc w:val="right"/>
              <w:textAlignment w:val="auto"/>
              <w:rPr>
                <w:rFonts w:ascii="Verdana" w:hAnsi="Verdana" w:cs="Calibri"/>
                <w:sz w:val="20"/>
                <w:lang w:eastAsia="en-GB"/>
              </w:rPr>
            </w:pPr>
            <w:r w:rsidRPr="002671BE">
              <w:rPr>
                <w:rFonts w:ascii="Verdana" w:hAnsi="Verdana" w:cs="Calibri"/>
                <w:sz w:val="20"/>
                <w:lang w:eastAsia="en-GB"/>
              </w:rPr>
              <w:t>(103,000)</w:t>
            </w:r>
          </w:p>
        </w:tc>
      </w:tr>
      <w:tr w:rsidRPr="002671BE" w:rsidR="00C963B4" w:rsidTr="00434062">
        <w:trPr>
          <w:trHeight w:val="300"/>
        </w:trPr>
        <w:tc>
          <w:tcPr>
            <w:tcW w:w="6678" w:type="dxa"/>
            <w:tcBorders>
              <w:top w:val="nil"/>
              <w:left w:val="nil"/>
              <w:bottom w:val="nil"/>
              <w:right w:val="nil"/>
            </w:tcBorders>
            <w:shd w:val="clear" w:color="000000" w:fill="F2F2F2"/>
            <w:noWrap/>
            <w:vAlign w:val="bottom"/>
          </w:tcPr>
          <w:p w:rsidR="00C963B4" w:rsidP="008845F7" w:rsidRDefault="00C963B4">
            <w:pPr>
              <w:overflowPunct/>
              <w:autoSpaceDE/>
              <w:autoSpaceDN/>
              <w:adjustRightInd/>
              <w:jc w:val="left"/>
              <w:textAlignment w:val="auto"/>
              <w:rPr>
                <w:rFonts w:ascii="Verdana" w:hAnsi="Verdana" w:cs="Calibri"/>
                <w:color w:val="000000"/>
                <w:sz w:val="20"/>
                <w:lang w:eastAsia="en-GB"/>
              </w:rPr>
            </w:pPr>
            <w:r>
              <w:rPr>
                <w:rFonts w:ascii="Verdana" w:hAnsi="Verdana" w:cs="Calibri"/>
                <w:color w:val="000000"/>
                <w:sz w:val="20"/>
                <w:lang w:eastAsia="en-GB"/>
              </w:rPr>
              <w:t>Related movement in reimbursable asset</w:t>
            </w:r>
          </w:p>
        </w:tc>
        <w:tc>
          <w:tcPr>
            <w:tcW w:w="1559" w:type="dxa"/>
            <w:tcBorders>
              <w:top w:val="nil"/>
              <w:left w:val="nil"/>
              <w:bottom w:val="nil"/>
              <w:right w:val="nil"/>
            </w:tcBorders>
            <w:shd w:val="clear" w:color="000000" w:fill="F2F2F2"/>
            <w:noWrap/>
            <w:vAlign w:val="bottom"/>
          </w:tcPr>
          <w:p w:rsidRPr="002671BE" w:rsidR="00C963B4" w:rsidP="00C963B4" w:rsidRDefault="00C963B4">
            <w:pPr>
              <w:overflowPunct/>
              <w:autoSpaceDE/>
              <w:autoSpaceDN/>
              <w:adjustRightInd/>
              <w:jc w:val="right"/>
              <w:textAlignment w:val="auto"/>
              <w:rPr>
                <w:rFonts w:ascii="Verdana" w:hAnsi="Verdana" w:cs="Calibri"/>
                <w:sz w:val="20"/>
                <w:lang w:eastAsia="en-GB"/>
              </w:rPr>
            </w:pPr>
            <w:r>
              <w:rPr>
                <w:rFonts w:ascii="Verdana" w:hAnsi="Verdana" w:cs="Calibri"/>
                <w:sz w:val="20"/>
                <w:lang w:eastAsia="en-GB"/>
              </w:rPr>
              <w:t>47,000</w:t>
            </w:r>
          </w:p>
        </w:tc>
        <w:tc>
          <w:tcPr>
            <w:tcW w:w="287" w:type="dxa"/>
            <w:tcBorders>
              <w:top w:val="nil"/>
              <w:left w:val="nil"/>
              <w:bottom w:val="nil"/>
              <w:right w:val="nil"/>
            </w:tcBorders>
            <w:shd w:val="clear" w:color="000000" w:fill="F2F2F2"/>
            <w:noWrap/>
            <w:vAlign w:val="bottom"/>
          </w:tcPr>
          <w:p w:rsidRPr="002671BE" w:rsidR="00C963B4" w:rsidP="008845F7" w:rsidRDefault="00C963B4">
            <w:pPr>
              <w:overflowPunct/>
              <w:autoSpaceDE/>
              <w:autoSpaceDN/>
              <w:adjustRightInd/>
              <w:jc w:val="left"/>
              <w:textAlignment w:val="auto"/>
              <w:rPr>
                <w:rFonts w:ascii="Verdana" w:hAnsi="Verdana" w:cs="Calibri"/>
                <w:sz w:val="20"/>
                <w:lang w:eastAsia="en-GB"/>
              </w:rPr>
            </w:pPr>
          </w:p>
        </w:tc>
        <w:tc>
          <w:tcPr>
            <w:tcW w:w="1276" w:type="dxa"/>
            <w:tcBorders>
              <w:top w:val="nil"/>
              <w:left w:val="nil"/>
              <w:bottom w:val="nil"/>
              <w:right w:val="nil"/>
            </w:tcBorders>
            <w:shd w:val="clear" w:color="000000" w:fill="F2F2F2"/>
            <w:noWrap/>
            <w:vAlign w:val="bottom"/>
          </w:tcPr>
          <w:p w:rsidRPr="002671BE" w:rsidR="00C963B4" w:rsidP="003B0A24" w:rsidRDefault="00C963B4">
            <w:pPr>
              <w:overflowPunct/>
              <w:autoSpaceDE/>
              <w:autoSpaceDN/>
              <w:adjustRightInd/>
              <w:jc w:val="right"/>
              <w:textAlignment w:val="auto"/>
              <w:rPr>
                <w:rFonts w:ascii="Verdana" w:hAnsi="Verdana" w:cs="Calibri"/>
                <w:sz w:val="20"/>
                <w:lang w:eastAsia="en-GB"/>
              </w:rPr>
            </w:pPr>
            <w:r>
              <w:rPr>
                <w:rFonts w:ascii="Verdana" w:hAnsi="Verdana" w:cs="Calibri"/>
                <w:sz w:val="20"/>
                <w:lang w:eastAsia="en-GB"/>
              </w:rPr>
              <w:t>103,000</w:t>
            </w:r>
          </w:p>
        </w:tc>
      </w:tr>
      <w:tr w:rsidRPr="002671BE" w:rsidR="00434062" w:rsidTr="00434062">
        <w:trPr>
          <w:trHeight w:val="315"/>
        </w:trPr>
        <w:tc>
          <w:tcPr>
            <w:tcW w:w="6678" w:type="dxa"/>
            <w:tcBorders>
              <w:top w:val="nil"/>
              <w:left w:val="nil"/>
              <w:bottom w:val="nil"/>
              <w:right w:val="nil"/>
            </w:tcBorders>
            <w:shd w:val="clear" w:color="000000" w:fill="F2F2F2"/>
            <w:noWrap/>
            <w:vAlign w:val="bottom"/>
            <w:hideMark/>
          </w:tcPr>
          <w:p w:rsidRPr="0054543B" w:rsidR="00434062" w:rsidP="008845F7" w:rsidRDefault="00434062">
            <w:pPr>
              <w:overflowPunct/>
              <w:autoSpaceDE/>
              <w:autoSpaceDN/>
              <w:adjustRightInd/>
              <w:jc w:val="left"/>
              <w:textAlignment w:val="auto"/>
              <w:rPr>
                <w:rFonts w:ascii="Verdana" w:hAnsi="Verdana" w:cs="Calibri"/>
                <w:color w:val="000000"/>
                <w:sz w:val="20"/>
                <w:lang w:eastAsia="en-GB"/>
              </w:rPr>
            </w:pPr>
            <w:r w:rsidRPr="0054543B">
              <w:rPr>
                <w:rFonts w:ascii="Verdana" w:hAnsi="Verdana" w:cs="Calibri"/>
                <w:color w:val="000000"/>
                <w:sz w:val="20"/>
                <w:lang w:eastAsia="en-GB"/>
              </w:rPr>
              <w:t> </w:t>
            </w:r>
          </w:p>
        </w:tc>
        <w:tc>
          <w:tcPr>
            <w:tcW w:w="1559" w:type="dxa"/>
            <w:tcBorders>
              <w:top w:val="single" w:color="auto" w:sz="4" w:space="0"/>
              <w:left w:val="nil"/>
              <w:bottom w:val="single" w:color="auto" w:sz="8" w:space="0"/>
              <w:right w:val="nil"/>
            </w:tcBorders>
            <w:shd w:val="clear" w:color="000000" w:fill="F2F2F2"/>
            <w:noWrap/>
            <w:vAlign w:val="bottom"/>
            <w:hideMark/>
          </w:tcPr>
          <w:p w:rsidRPr="002671BE" w:rsidR="00434062" w:rsidP="00C963B4" w:rsidRDefault="00434062">
            <w:pPr>
              <w:overflowPunct/>
              <w:autoSpaceDE/>
              <w:autoSpaceDN/>
              <w:adjustRightInd/>
              <w:jc w:val="right"/>
              <w:textAlignment w:val="auto"/>
              <w:rPr>
                <w:rFonts w:ascii="Verdana" w:hAnsi="Verdana" w:cs="Calibri"/>
                <w:sz w:val="20"/>
                <w:lang w:eastAsia="en-GB"/>
              </w:rPr>
            </w:pPr>
            <w:r w:rsidRPr="002671BE">
              <w:rPr>
                <w:rFonts w:ascii="Verdana" w:hAnsi="Verdana" w:cs="Calibri"/>
                <w:sz w:val="20"/>
                <w:lang w:eastAsia="en-GB"/>
              </w:rPr>
              <w:t>(</w:t>
            </w:r>
            <w:r w:rsidR="00C963B4">
              <w:rPr>
                <w:rFonts w:ascii="Verdana" w:hAnsi="Verdana" w:cs="Calibri"/>
                <w:sz w:val="20"/>
                <w:lang w:eastAsia="en-GB"/>
              </w:rPr>
              <w:t>43</w:t>
            </w:r>
            <w:r w:rsidRPr="002671BE">
              <w:rPr>
                <w:rFonts w:ascii="Verdana" w:hAnsi="Verdana" w:cs="Calibri"/>
                <w:sz w:val="20"/>
                <w:lang w:eastAsia="en-GB"/>
              </w:rPr>
              <w:t>,</w:t>
            </w:r>
            <w:r w:rsidR="00347FCB">
              <w:rPr>
                <w:rFonts w:ascii="Verdana" w:hAnsi="Verdana" w:cs="Calibri"/>
                <w:sz w:val="20"/>
                <w:lang w:eastAsia="en-GB"/>
              </w:rPr>
              <w:t>38</w:t>
            </w:r>
            <w:r w:rsidR="00C963B4">
              <w:rPr>
                <w:rFonts w:ascii="Verdana" w:hAnsi="Verdana" w:cs="Calibri"/>
                <w:sz w:val="20"/>
                <w:lang w:eastAsia="en-GB"/>
              </w:rPr>
              <w:t>8</w:t>
            </w:r>
            <w:r w:rsidRPr="002671BE">
              <w:rPr>
                <w:rFonts w:ascii="Verdana" w:hAnsi="Verdana" w:cs="Calibri"/>
                <w:sz w:val="20"/>
                <w:lang w:eastAsia="en-GB"/>
              </w:rPr>
              <w:t>)</w:t>
            </w:r>
          </w:p>
        </w:tc>
        <w:tc>
          <w:tcPr>
            <w:tcW w:w="287" w:type="dxa"/>
            <w:tcBorders>
              <w:top w:val="nil"/>
              <w:left w:val="nil"/>
              <w:bottom w:val="nil"/>
              <w:right w:val="nil"/>
            </w:tcBorders>
            <w:shd w:val="clear" w:color="000000" w:fill="F2F2F2"/>
            <w:noWrap/>
            <w:vAlign w:val="bottom"/>
            <w:hideMark/>
          </w:tcPr>
          <w:p w:rsidRPr="002671BE" w:rsidR="00434062" w:rsidP="008845F7" w:rsidRDefault="00434062">
            <w:pPr>
              <w:overflowPunct/>
              <w:autoSpaceDE/>
              <w:autoSpaceDN/>
              <w:adjustRightInd/>
              <w:jc w:val="left"/>
              <w:textAlignment w:val="auto"/>
              <w:rPr>
                <w:rFonts w:ascii="Verdana" w:hAnsi="Verdana" w:cs="Calibri"/>
                <w:sz w:val="20"/>
                <w:lang w:eastAsia="en-GB"/>
              </w:rPr>
            </w:pPr>
            <w:r w:rsidRPr="002671BE">
              <w:rPr>
                <w:rFonts w:ascii="Verdana" w:hAnsi="Verdana" w:cs="Calibri"/>
                <w:sz w:val="20"/>
                <w:lang w:eastAsia="en-GB"/>
              </w:rPr>
              <w:t> </w:t>
            </w:r>
          </w:p>
        </w:tc>
        <w:tc>
          <w:tcPr>
            <w:tcW w:w="1276" w:type="dxa"/>
            <w:tcBorders>
              <w:top w:val="single" w:color="auto" w:sz="4" w:space="0"/>
              <w:left w:val="nil"/>
              <w:bottom w:val="single" w:color="auto" w:sz="8" w:space="0"/>
              <w:right w:val="nil"/>
            </w:tcBorders>
            <w:shd w:val="clear" w:color="000000" w:fill="F2F2F2"/>
            <w:noWrap/>
            <w:vAlign w:val="bottom"/>
            <w:hideMark/>
          </w:tcPr>
          <w:p w:rsidRPr="002671BE" w:rsidR="00434062" w:rsidP="00C963B4" w:rsidRDefault="00434062">
            <w:pPr>
              <w:overflowPunct/>
              <w:autoSpaceDE/>
              <w:autoSpaceDN/>
              <w:adjustRightInd/>
              <w:jc w:val="right"/>
              <w:textAlignment w:val="auto"/>
              <w:rPr>
                <w:rFonts w:ascii="Verdana" w:hAnsi="Verdana" w:cs="Calibri"/>
                <w:sz w:val="20"/>
                <w:lang w:eastAsia="en-GB"/>
              </w:rPr>
            </w:pPr>
            <w:r w:rsidRPr="002671BE">
              <w:rPr>
                <w:rFonts w:ascii="Verdana" w:hAnsi="Verdana" w:cs="Calibri"/>
                <w:sz w:val="20"/>
                <w:lang w:eastAsia="en-GB"/>
              </w:rPr>
              <w:t>(</w:t>
            </w:r>
            <w:r w:rsidR="00C963B4">
              <w:rPr>
                <w:rFonts w:ascii="Verdana" w:hAnsi="Verdana" w:cs="Calibri"/>
                <w:sz w:val="20"/>
                <w:lang w:eastAsia="en-GB"/>
              </w:rPr>
              <w:t>72</w:t>
            </w:r>
            <w:r w:rsidRPr="002671BE">
              <w:rPr>
                <w:rFonts w:ascii="Verdana" w:hAnsi="Verdana" w:cs="Calibri"/>
                <w:sz w:val="20"/>
                <w:lang w:eastAsia="en-GB"/>
              </w:rPr>
              <w:t>,</w:t>
            </w:r>
            <w:r w:rsidR="00C963B4">
              <w:rPr>
                <w:rFonts w:ascii="Verdana" w:hAnsi="Verdana" w:cs="Calibri"/>
                <w:sz w:val="20"/>
                <w:lang w:eastAsia="en-GB"/>
              </w:rPr>
              <w:t>383</w:t>
            </w:r>
            <w:r w:rsidRPr="002671BE">
              <w:rPr>
                <w:rFonts w:ascii="Verdana" w:hAnsi="Verdana" w:cs="Calibri"/>
                <w:sz w:val="20"/>
                <w:lang w:eastAsia="en-GB"/>
              </w:rPr>
              <w:t>)</w:t>
            </w:r>
          </w:p>
        </w:tc>
      </w:tr>
    </w:tbl>
    <w:p w:rsidRPr="008B41ED" w:rsidR="008845F7" w:rsidP="008845F7" w:rsidRDefault="008845F7">
      <w:pPr>
        <w:rPr>
          <w:highlight w:val="yellow"/>
        </w:rPr>
      </w:pPr>
    </w:p>
    <w:p w:rsidRPr="00920F7B" w:rsidR="00E9305A" w:rsidP="00E9305A" w:rsidRDefault="004C030C">
      <w:pPr>
        <w:pStyle w:val="Heading1"/>
        <w:numPr>
          <w:ilvl w:val="0"/>
          <w:numId w:val="0"/>
        </w:numPr>
        <w:rPr>
          <w:rFonts w:ascii="Verdana" w:hAnsi="Verdana" w:cs="Arial"/>
        </w:rPr>
      </w:pPr>
      <w:r w:rsidRPr="00920F7B">
        <w:rPr>
          <w:rFonts w:ascii="Verdana" w:hAnsi="Verdana" w:cs="Arial"/>
        </w:rPr>
        <w:t>7</w:t>
      </w:r>
      <w:r w:rsidRPr="00920F7B" w:rsidR="00E9305A">
        <w:rPr>
          <w:rFonts w:ascii="Verdana" w:hAnsi="Verdana" w:cs="Arial"/>
        </w:rPr>
        <w:t>. Taxation</w:t>
      </w:r>
    </w:p>
    <w:p w:rsidRPr="00920F7B" w:rsidR="00E9305A" w:rsidP="00E9305A" w:rsidRDefault="00E9305A">
      <w:pPr>
        <w:pStyle w:val="ACNotesText"/>
        <w:rPr>
          <w:rFonts w:ascii="Verdana" w:hAnsi="Verdana" w:cs="Arial"/>
          <w:b/>
        </w:rPr>
      </w:pPr>
      <w:r w:rsidRPr="00920F7B">
        <w:rPr>
          <w:rFonts w:ascii="Verdana" w:hAnsi="Verdana" w:cs="Arial"/>
          <w:b/>
        </w:rPr>
        <w:t>A. Analysis of charge in period</w:t>
      </w:r>
    </w:p>
    <w:p w:rsidRPr="00920F7B" w:rsidR="00E838EC" w:rsidP="00E9305A" w:rsidRDefault="00E838EC">
      <w:pPr>
        <w:overflowPunct/>
        <w:autoSpaceDE/>
        <w:autoSpaceDN/>
        <w:adjustRightInd/>
        <w:textAlignment w:val="auto"/>
        <w:rPr>
          <w:rFonts w:ascii="Verdana" w:hAnsi="Verdana" w:cs="Arial"/>
          <w:b/>
          <w:sz w:val="20"/>
          <w:lang w:eastAsia="en-GB"/>
        </w:rPr>
      </w:pPr>
    </w:p>
    <w:tbl>
      <w:tblPr>
        <w:tblW w:w="9860" w:type="dxa"/>
        <w:tblInd w:w="93" w:type="dxa"/>
        <w:tblLook w:val="04A0" w:firstRow="1" w:lastRow="0" w:firstColumn="1" w:lastColumn="0" w:noHBand="0" w:noVBand="1"/>
      </w:tblPr>
      <w:tblGrid>
        <w:gridCol w:w="6580"/>
        <w:gridCol w:w="1640"/>
        <w:gridCol w:w="400"/>
        <w:gridCol w:w="1240"/>
      </w:tblGrid>
      <w:tr w:rsidRPr="00920F7B" w:rsidR="004149B0" w:rsidTr="004149B0">
        <w:trPr>
          <w:trHeight w:val="255"/>
        </w:trPr>
        <w:tc>
          <w:tcPr>
            <w:tcW w:w="6580" w:type="dxa"/>
            <w:tcBorders>
              <w:top w:val="nil"/>
              <w:left w:val="nil"/>
              <w:bottom w:val="nil"/>
              <w:right w:val="nil"/>
            </w:tcBorders>
            <w:shd w:val="clear" w:color="000000" w:fill="F2F2F2"/>
            <w:vAlign w:val="center"/>
            <w:hideMark/>
          </w:tcPr>
          <w:p w:rsidRPr="00920F7B" w:rsidR="004149B0" w:rsidP="00E838EC" w:rsidRDefault="004149B0">
            <w:pPr>
              <w:overflowPunct/>
              <w:autoSpaceDE/>
              <w:autoSpaceDN/>
              <w:adjustRightInd/>
              <w:jc w:val="left"/>
              <w:textAlignment w:val="auto"/>
              <w:rPr>
                <w:rFonts w:ascii="Verdana" w:hAnsi="Verdana" w:cs="Calibri"/>
                <w:color w:val="000000"/>
                <w:sz w:val="20"/>
                <w:lang w:eastAsia="en-GB"/>
              </w:rPr>
            </w:pPr>
            <w:r w:rsidRPr="00920F7B">
              <w:rPr>
                <w:rFonts w:ascii="Verdana" w:hAnsi="Verdana" w:cs="Calibri"/>
                <w:color w:val="000000"/>
                <w:sz w:val="20"/>
                <w:lang w:eastAsia="en-GB"/>
              </w:rPr>
              <w:t> </w:t>
            </w:r>
          </w:p>
        </w:tc>
        <w:tc>
          <w:tcPr>
            <w:tcW w:w="1640" w:type="dxa"/>
            <w:tcBorders>
              <w:top w:val="nil"/>
              <w:left w:val="nil"/>
              <w:bottom w:val="nil"/>
              <w:right w:val="nil"/>
            </w:tcBorders>
            <w:shd w:val="clear" w:color="000000" w:fill="F2F2F2"/>
            <w:noWrap/>
            <w:vAlign w:val="bottom"/>
            <w:hideMark/>
          </w:tcPr>
          <w:p w:rsidRPr="00920F7B" w:rsidR="004149B0" w:rsidP="000A7081" w:rsidRDefault="004149B0">
            <w:pPr>
              <w:overflowPunct/>
              <w:autoSpaceDE/>
              <w:autoSpaceDN/>
              <w:adjustRightInd/>
              <w:jc w:val="right"/>
              <w:textAlignment w:val="auto"/>
              <w:rPr>
                <w:rFonts w:ascii="Verdana" w:hAnsi="Verdana" w:cs="Calibri"/>
                <w:b/>
                <w:bCs/>
                <w:color w:val="000000"/>
                <w:sz w:val="20"/>
                <w:lang w:eastAsia="en-GB"/>
              </w:rPr>
            </w:pPr>
            <w:r w:rsidRPr="00920F7B">
              <w:rPr>
                <w:rFonts w:ascii="Verdana" w:hAnsi="Verdana" w:cs="Calibri"/>
                <w:b/>
                <w:bCs/>
                <w:color w:val="000000"/>
                <w:sz w:val="20"/>
                <w:lang w:eastAsia="en-GB"/>
              </w:rPr>
              <w:t>201</w:t>
            </w:r>
            <w:r w:rsidR="000A7081">
              <w:rPr>
                <w:rFonts w:ascii="Verdana" w:hAnsi="Verdana" w:cs="Calibri"/>
                <w:b/>
                <w:bCs/>
                <w:color w:val="000000"/>
                <w:sz w:val="20"/>
                <w:lang w:eastAsia="en-GB"/>
              </w:rPr>
              <w:t>7</w:t>
            </w:r>
            <w:r w:rsidRPr="00920F7B">
              <w:rPr>
                <w:rFonts w:ascii="Verdana" w:hAnsi="Verdana" w:cs="Calibri"/>
                <w:b/>
                <w:bCs/>
                <w:color w:val="000000"/>
                <w:sz w:val="20"/>
                <w:lang w:eastAsia="en-GB"/>
              </w:rPr>
              <w:t>-1</w:t>
            </w:r>
            <w:r w:rsidR="000A7081">
              <w:rPr>
                <w:rFonts w:ascii="Verdana" w:hAnsi="Verdana" w:cs="Calibri"/>
                <w:b/>
                <w:bCs/>
                <w:color w:val="000000"/>
                <w:sz w:val="20"/>
                <w:lang w:eastAsia="en-GB"/>
              </w:rPr>
              <w:t>8</w:t>
            </w:r>
          </w:p>
        </w:tc>
        <w:tc>
          <w:tcPr>
            <w:tcW w:w="400" w:type="dxa"/>
            <w:tcBorders>
              <w:top w:val="nil"/>
              <w:left w:val="nil"/>
              <w:bottom w:val="nil"/>
              <w:right w:val="nil"/>
            </w:tcBorders>
            <w:shd w:val="clear" w:color="000000" w:fill="F2F2F2"/>
            <w:noWrap/>
            <w:vAlign w:val="center"/>
            <w:hideMark/>
          </w:tcPr>
          <w:p w:rsidRPr="00920F7B" w:rsidR="004149B0" w:rsidP="00E838EC" w:rsidRDefault="004149B0">
            <w:pPr>
              <w:overflowPunct/>
              <w:autoSpaceDE/>
              <w:autoSpaceDN/>
              <w:adjustRightInd/>
              <w:jc w:val="right"/>
              <w:textAlignment w:val="auto"/>
              <w:rPr>
                <w:rFonts w:ascii="Verdana" w:hAnsi="Verdana" w:cs="Calibri"/>
                <w:b/>
                <w:bCs/>
                <w:color w:val="000000"/>
                <w:sz w:val="20"/>
                <w:lang w:eastAsia="en-GB"/>
              </w:rPr>
            </w:pPr>
            <w:r w:rsidRPr="00920F7B">
              <w:rPr>
                <w:rFonts w:ascii="Verdana" w:hAnsi="Verdana" w:cs="Calibri"/>
                <w:b/>
                <w:bCs/>
                <w:color w:val="000000"/>
                <w:sz w:val="20"/>
                <w:lang w:eastAsia="en-GB"/>
              </w:rPr>
              <w:t> </w:t>
            </w:r>
          </w:p>
        </w:tc>
        <w:tc>
          <w:tcPr>
            <w:tcW w:w="1240" w:type="dxa"/>
            <w:tcBorders>
              <w:top w:val="nil"/>
              <w:left w:val="nil"/>
              <w:bottom w:val="nil"/>
              <w:right w:val="nil"/>
            </w:tcBorders>
            <w:shd w:val="clear" w:color="000000" w:fill="F2F2F2"/>
            <w:vAlign w:val="bottom"/>
          </w:tcPr>
          <w:p w:rsidRPr="00920F7B" w:rsidR="004149B0" w:rsidP="000A7081" w:rsidRDefault="00920F7B">
            <w:pPr>
              <w:overflowPunct/>
              <w:autoSpaceDE/>
              <w:autoSpaceDN/>
              <w:adjustRightInd/>
              <w:jc w:val="right"/>
              <w:textAlignment w:val="auto"/>
              <w:rPr>
                <w:rFonts w:ascii="Verdana" w:hAnsi="Verdana" w:cs="Calibri"/>
                <w:b/>
                <w:bCs/>
                <w:color w:val="000000"/>
                <w:sz w:val="20"/>
                <w:lang w:eastAsia="en-GB"/>
              </w:rPr>
            </w:pPr>
            <w:r w:rsidRPr="00920F7B">
              <w:rPr>
                <w:rFonts w:ascii="Verdana" w:hAnsi="Verdana" w:cs="Calibri"/>
                <w:b/>
                <w:bCs/>
                <w:color w:val="000000"/>
                <w:sz w:val="20"/>
                <w:lang w:eastAsia="en-GB"/>
              </w:rPr>
              <w:t>201</w:t>
            </w:r>
            <w:r w:rsidR="000A7081">
              <w:rPr>
                <w:rFonts w:ascii="Verdana" w:hAnsi="Verdana" w:cs="Calibri"/>
                <w:b/>
                <w:bCs/>
                <w:color w:val="000000"/>
                <w:sz w:val="20"/>
                <w:lang w:eastAsia="en-GB"/>
              </w:rPr>
              <w:t>6</w:t>
            </w:r>
            <w:r w:rsidRPr="00920F7B" w:rsidR="004149B0">
              <w:rPr>
                <w:rFonts w:ascii="Verdana" w:hAnsi="Verdana" w:cs="Calibri"/>
                <w:b/>
                <w:bCs/>
                <w:color w:val="000000"/>
                <w:sz w:val="20"/>
                <w:lang w:eastAsia="en-GB"/>
              </w:rPr>
              <w:t>-1</w:t>
            </w:r>
            <w:r w:rsidR="000A7081">
              <w:rPr>
                <w:rFonts w:ascii="Verdana" w:hAnsi="Verdana" w:cs="Calibri"/>
                <w:b/>
                <w:bCs/>
                <w:color w:val="000000"/>
                <w:sz w:val="20"/>
                <w:lang w:eastAsia="en-GB"/>
              </w:rPr>
              <w:t>7</w:t>
            </w:r>
          </w:p>
        </w:tc>
      </w:tr>
      <w:tr w:rsidRPr="00920F7B" w:rsidR="004149B0" w:rsidTr="004149B0">
        <w:trPr>
          <w:trHeight w:val="255"/>
        </w:trPr>
        <w:tc>
          <w:tcPr>
            <w:tcW w:w="6580" w:type="dxa"/>
            <w:tcBorders>
              <w:top w:val="nil"/>
              <w:left w:val="nil"/>
              <w:bottom w:val="nil"/>
              <w:right w:val="nil"/>
            </w:tcBorders>
            <w:shd w:val="clear" w:color="000000" w:fill="F2F2F2"/>
            <w:vAlign w:val="center"/>
            <w:hideMark/>
          </w:tcPr>
          <w:p w:rsidRPr="00920F7B" w:rsidR="004149B0" w:rsidP="00E838EC" w:rsidRDefault="004149B0">
            <w:pPr>
              <w:overflowPunct/>
              <w:autoSpaceDE/>
              <w:autoSpaceDN/>
              <w:adjustRightInd/>
              <w:jc w:val="left"/>
              <w:textAlignment w:val="auto"/>
              <w:rPr>
                <w:rFonts w:ascii="Verdana" w:hAnsi="Verdana" w:cs="Calibri"/>
                <w:color w:val="000000"/>
                <w:sz w:val="20"/>
                <w:lang w:eastAsia="en-GB"/>
              </w:rPr>
            </w:pPr>
            <w:r w:rsidRPr="00920F7B">
              <w:rPr>
                <w:rFonts w:ascii="Verdana" w:hAnsi="Verdana" w:cs="Calibri"/>
                <w:color w:val="000000"/>
                <w:sz w:val="20"/>
                <w:lang w:eastAsia="en-GB"/>
              </w:rPr>
              <w:t> </w:t>
            </w:r>
          </w:p>
        </w:tc>
        <w:tc>
          <w:tcPr>
            <w:tcW w:w="1640" w:type="dxa"/>
            <w:tcBorders>
              <w:top w:val="nil"/>
              <w:left w:val="nil"/>
              <w:bottom w:val="nil"/>
              <w:right w:val="nil"/>
            </w:tcBorders>
            <w:shd w:val="clear" w:color="000000" w:fill="F2F2F2"/>
            <w:noWrap/>
            <w:vAlign w:val="bottom"/>
            <w:hideMark/>
          </w:tcPr>
          <w:p w:rsidRPr="00920F7B" w:rsidR="004149B0" w:rsidP="00E838EC" w:rsidRDefault="004149B0">
            <w:pPr>
              <w:overflowPunct/>
              <w:autoSpaceDE/>
              <w:autoSpaceDN/>
              <w:adjustRightInd/>
              <w:jc w:val="right"/>
              <w:textAlignment w:val="auto"/>
              <w:rPr>
                <w:rFonts w:ascii="Verdana" w:hAnsi="Verdana" w:cs="Calibri"/>
                <w:b/>
                <w:bCs/>
                <w:color w:val="000000"/>
                <w:sz w:val="20"/>
                <w:lang w:eastAsia="en-GB"/>
              </w:rPr>
            </w:pPr>
            <w:r w:rsidRPr="00920F7B">
              <w:rPr>
                <w:rFonts w:ascii="Verdana" w:hAnsi="Verdana" w:cs="Calibri"/>
                <w:b/>
                <w:bCs/>
                <w:color w:val="000000"/>
                <w:sz w:val="20"/>
                <w:lang w:eastAsia="en-GB"/>
              </w:rPr>
              <w:t>£</w:t>
            </w:r>
          </w:p>
        </w:tc>
        <w:tc>
          <w:tcPr>
            <w:tcW w:w="400" w:type="dxa"/>
            <w:tcBorders>
              <w:top w:val="nil"/>
              <w:left w:val="nil"/>
              <w:bottom w:val="nil"/>
              <w:right w:val="nil"/>
            </w:tcBorders>
            <w:shd w:val="clear" w:color="000000" w:fill="F2F2F2"/>
            <w:noWrap/>
            <w:vAlign w:val="center"/>
            <w:hideMark/>
          </w:tcPr>
          <w:p w:rsidRPr="00920F7B" w:rsidR="004149B0" w:rsidP="00E838EC" w:rsidRDefault="004149B0">
            <w:pPr>
              <w:overflowPunct/>
              <w:autoSpaceDE/>
              <w:autoSpaceDN/>
              <w:adjustRightInd/>
              <w:jc w:val="right"/>
              <w:textAlignment w:val="auto"/>
              <w:rPr>
                <w:rFonts w:ascii="Verdana" w:hAnsi="Verdana" w:cs="Calibri"/>
                <w:b/>
                <w:bCs/>
                <w:color w:val="000000"/>
                <w:sz w:val="20"/>
                <w:lang w:eastAsia="en-GB"/>
              </w:rPr>
            </w:pPr>
            <w:r w:rsidRPr="00920F7B">
              <w:rPr>
                <w:rFonts w:ascii="Verdana" w:hAnsi="Verdana" w:cs="Calibri"/>
                <w:b/>
                <w:bCs/>
                <w:color w:val="000000"/>
                <w:sz w:val="20"/>
                <w:lang w:eastAsia="en-GB"/>
              </w:rPr>
              <w:t> </w:t>
            </w:r>
          </w:p>
        </w:tc>
        <w:tc>
          <w:tcPr>
            <w:tcW w:w="1240" w:type="dxa"/>
            <w:tcBorders>
              <w:top w:val="nil"/>
              <w:left w:val="nil"/>
              <w:bottom w:val="nil"/>
              <w:right w:val="nil"/>
            </w:tcBorders>
            <w:shd w:val="clear" w:color="000000" w:fill="F2F2F2"/>
            <w:vAlign w:val="bottom"/>
          </w:tcPr>
          <w:p w:rsidRPr="00920F7B" w:rsidR="004149B0" w:rsidP="00AF5C73" w:rsidRDefault="004149B0">
            <w:pPr>
              <w:overflowPunct/>
              <w:autoSpaceDE/>
              <w:autoSpaceDN/>
              <w:adjustRightInd/>
              <w:jc w:val="right"/>
              <w:textAlignment w:val="auto"/>
              <w:rPr>
                <w:rFonts w:ascii="Verdana" w:hAnsi="Verdana" w:cs="Calibri"/>
                <w:b/>
                <w:bCs/>
                <w:color w:val="000000"/>
                <w:sz w:val="20"/>
                <w:lang w:eastAsia="en-GB"/>
              </w:rPr>
            </w:pPr>
            <w:r w:rsidRPr="00920F7B">
              <w:rPr>
                <w:rFonts w:ascii="Verdana" w:hAnsi="Verdana" w:cs="Calibri"/>
                <w:b/>
                <w:bCs/>
                <w:color w:val="000000"/>
                <w:sz w:val="20"/>
                <w:lang w:eastAsia="en-GB"/>
              </w:rPr>
              <w:t>£</w:t>
            </w:r>
          </w:p>
        </w:tc>
      </w:tr>
      <w:tr w:rsidRPr="00920F7B" w:rsidR="004149B0" w:rsidTr="004149B0">
        <w:trPr>
          <w:trHeight w:val="255"/>
        </w:trPr>
        <w:tc>
          <w:tcPr>
            <w:tcW w:w="6580" w:type="dxa"/>
            <w:tcBorders>
              <w:top w:val="nil"/>
              <w:left w:val="nil"/>
              <w:bottom w:val="nil"/>
              <w:right w:val="nil"/>
            </w:tcBorders>
            <w:shd w:val="clear" w:color="000000" w:fill="F2F2F2"/>
            <w:vAlign w:val="center"/>
            <w:hideMark/>
          </w:tcPr>
          <w:p w:rsidRPr="00920F7B" w:rsidR="004149B0" w:rsidP="00E838EC" w:rsidRDefault="004149B0">
            <w:pPr>
              <w:overflowPunct/>
              <w:autoSpaceDE/>
              <w:autoSpaceDN/>
              <w:adjustRightInd/>
              <w:jc w:val="left"/>
              <w:textAlignment w:val="auto"/>
              <w:rPr>
                <w:rFonts w:ascii="Verdana" w:hAnsi="Verdana" w:cs="Calibri"/>
                <w:color w:val="000000"/>
                <w:sz w:val="20"/>
                <w:lang w:eastAsia="en-GB"/>
              </w:rPr>
            </w:pPr>
            <w:r w:rsidRPr="00920F7B">
              <w:rPr>
                <w:rFonts w:ascii="Verdana" w:hAnsi="Verdana" w:cs="Calibri"/>
                <w:color w:val="000000"/>
                <w:sz w:val="20"/>
                <w:lang w:eastAsia="en-GB"/>
              </w:rPr>
              <w:t> </w:t>
            </w:r>
          </w:p>
        </w:tc>
        <w:tc>
          <w:tcPr>
            <w:tcW w:w="1640" w:type="dxa"/>
            <w:tcBorders>
              <w:top w:val="nil"/>
              <w:left w:val="nil"/>
              <w:bottom w:val="nil"/>
              <w:right w:val="nil"/>
            </w:tcBorders>
            <w:shd w:val="clear" w:color="000000" w:fill="F2F2F2"/>
            <w:noWrap/>
            <w:vAlign w:val="bottom"/>
            <w:hideMark/>
          </w:tcPr>
          <w:p w:rsidRPr="00920F7B" w:rsidR="004149B0" w:rsidP="00E838EC" w:rsidRDefault="004149B0">
            <w:pPr>
              <w:overflowPunct/>
              <w:autoSpaceDE/>
              <w:autoSpaceDN/>
              <w:adjustRightInd/>
              <w:jc w:val="left"/>
              <w:textAlignment w:val="auto"/>
              <w:rPr>
                <w:rFonts w:ascii="Verdana" w:hAnsi="Verdana" w:cs="Calibri"/>
                <w:color w:val="000000"/>
                <w:sz w:val="20"/>
                <w:lang w:eastAsia="en-GB"/>
              </w:rPr>
            </w:pPr>
            <w:r w:rsidRPr="00920F7B">
              <w:rPr>
                <w:rFonts w:ascii="Verdana" w:hAnsi="Verdana" w:cs="Calibri"/>
                <w:color w:val="000000"/>
                <w:sz w:val="20"/>
                <w:lang w:eastAsia="en-GB"/>
              </w:rPr>
              <w:t> </w:t>
            </w:r>
          </w:p>
        </w:tc>
        <w:tc>
          <w:tcPr>
            <w:tcW w:w="400" w:type="dxa"/>
            <w:tcBorders>
              <w:top w:val="nil"/>
              <w:left w:val="nil"/>
              <w:bottom w:val="nil"/>
              <w:right w:val="nil"/>
            </w:tcBorders>
            <w:shd w:val="clear" w:color="000000" w:fill="F2F2F2"/>
            <w:noWrap/>
            <w:vAlign w:val="center"/>
            <w:hideMark/>
          </w:tcPr>
          <w:p w:rsidRPr="00920F7B" w:rsidR="004149B0" w:rsidP="00E838EC" w:rsidRDefault="004149B0">
            <w:pPr>
              <w:overflowPunct/>
              <w:autoSpaceDE/>
              <w:autoSpaceDN/>
              <w:adjustRightInd/>
              <w:jc w:val="right"/>
              <w:textAlignment w:val="auto"/>
              <w:rPr>
                <w:rFonts w:ascii="Verdana" w:hAnsi="Verdana" w:cs="Calibri"/>
                <w:color w:val="000000"/>
                <w:sz w:val="20"/>
                <w:lang w:eastAsia="en-GB"/>
              </w:rPr>
            </w:pPr>
            <w:r w:rsidRPr="00920F7B">
              <w:rPr>
                <w:rFonts w:ascii="Verdana" w:hAnsi="Verdana" w:cs="Calibri"/>
                <w:color w:val="000000"/>
                <w:sz w:val="20"/>
                <w:lang w:eastAsia="en-GB"/>
              </w:rPr>
              <w:t> </w:t>
            </w:r>
          </w:p>
        </w:tc>
        <w:tc>
          <w:tcPr>
            <w:tcW w:w="1240" w:type="dxa"/>
            <w:tcBorders>
              <w:top w:val="nil"/>
              <w:left w:val="nil"/>
              <w:bottom w:val="nil"/>
              <w:right w:val="nil"/>
            </w:tcBorders>
            <w:shd w:val="clear" w:color="000000" w:fill="F2F2F2"/>
            <w:vAlign w:val="bottom"/>
          </w:tcPr>
          <w:p w:rsidRPr="00920F7B" w:rsidR="004149B0" w:rsidP="00AF5C73" w:rsidRDefault="004149B0">
            <w:pPr>
              <w:overflowPunct/>
              <w:autoSpaceDE/>
              <w:autoSpaceDN/>
              <w:adjustRightInd/>
              <w:jc w:val="left"/>
              <w:textAlignment w:val="auto"/>
              <w:rPr>
                <w:rFonts w:ascii="Verdana" w:hAnsi="Verdana" w:cs="Calibri"/>
                <w:color w:val="000000"/>
                <w:sz w:val="20"/>
                <w:lang w:eastAsia="en-GB"/>
              </w:rPr>
            </w:pPr>
            <w:r w:rsidRPr="00920F7B">
              <w:rPr>
                <w:rFonts w:ascii="Verdana" w:hAnsi="Verdana" w:cs="Calibri"/>
                <w:color w:val="000000"/>
                <w:sz w:val="20"/>
                <w:lang w:eastAsia="en-GB"/>
              </w:rPr>
              <w:t> </w:t>
            </w:r>
          </w:p>
        </w:tc>
      </w:tr>
      <w:tr w:rsidRPr="00920F7B" w:rsidR="004149B0" w:rsidTr="004149B0">
        <w:trPr>
          <w:trHeight w:val="255"/>
        </w:trPr>
        <w:tc>
          <w:tcPr>
            <w:tcW w:w="6580" w:type="dxa"/>
            <w:tcBorders>
              <w:top w:val="nil"/>
              <w:left w:val="nil"/>
              <w:bottom w:val="nil"/>
              <w:right w:val="nil"/>
            </w:tcBorders>
            <w:shd w:val="clear" w:color="000000" w:fill="F2F2F2"/>
            <w:vAlign w:val="center"/>
            <w:hideMark/>
          </w:tcPr>
          <w:p w:rsidRPr="00920F7B" w:rsidR="004149B0" w:rsidP="00E838EC" w:rsidRDefault="004149B0">
            <w:pPr>
              <w:overflowPunct/>
              <w:autoSpaceDE/>
              <w:autoSpaceDN/>
              <w:adjustRightInd/>
              <w:jc w:val="left"/>
              <w:textAlignment w:val="auto"/>
              <w:rPr>
                <w:rFonts w:ascii="Verdana" w:hAnsi="Verdana" w:cs="Calibri"/>
                <w:color w:val="000000"/>
                <w:sz w:val="20"/>
                <w:lang w:eastAsia="en-GB"/>
              </w:rPr>
            </w:pPr>
            <w:r w:rsidRPr="00920F7B">
              <w:rPr>
                <w:rFonts w:ascii="Verdana" w:hAnsi="Verdana" w:cs="Calibri"/>
                <w:color w:val="000000"/>
                <w:sz w:val="20"/>
                <w:lang w:eastAsia="en-GB"/>
              </w:rPr>
              <w:t>UK Corporation Tax in the Period</w:t>
            </w:r>
          </w:p>
        </w:tc>
        <w:tc>
          <w:tcPr>
            <w:tcW w:w="1640" w:type="dxa"/>
            <w:tcBorders>
              <w:top w:val="nil"/>
              <w:left w:val="nil"/>
              <w:bottom w:val="nil"/>
              <w:right w:val="nil"/>
            </w:tcBorders>
            <w:shd w:val="clear" w:color="000000" w:fill="F2F2F2"/>
            <w:noWrap/>
            <w:vAlign w:val="bottom"/>
          </w:tcPr>
          <w:p w:rsidRPr="00920F7B" w:rsidR="004149B0" w:rsidP="00C963B4" w:rsidRDefault="00C963B4">
            <w:pPr>
              <w:overflowPunct/>
              <w:autoSpaceDE/>
              <w:autoSpaceDN/>
              <w:adjustRightInd/>
              <w:jc w:val="right"/>
              <w:textAlignment w:val="auto"/>
              <w:rPr>
                <w:rFonts w:ascii="Verdana" w:hAnsi="Verdana" w:cs="Calibri"/>
                <w:color w:val="000000"/>
                <w:sz w:val="20"/>
                <w:lang w:eastAsia="en-GB"/>
              </w:rPr>
            </w:pPr>
            <w:r>
              <w:rPr>
                <w:rFonts w:ascii="Verdana" w:hAnsi="Verdana" w:cs="Calibri"/>
                <w:color w:val="000000"/>
                <w:sz w:val="20"/>
                <w:lang w:eastAsia="en-GB"/>
              </w:rPr>
              <w:t>8</w:t>
            </w:r>
            <w:r w:rsidR="00075F02">
              <w:rPr>
                <w:rFonts w:ascii="Verdana" w:hAnsi="Verdana" w:cs="Calibri"/>
                <w:color w:val="000000"/>
                <w:sz w:val="20"/>
                <w:lang w:eastAsia="en-GB"/>
              </w:rPr>
              <w:t>,</w:t>
            </w:r>
            <w:r>
              <w:rPr>
                <w:rFonts w:ascii="Verdana" w:hAnsi="Verdana" w:cs="Calibri"/>
                <w:color w:val="000000"/>
                <w:sz w:val="20"/>
                <w:lang w:eastAsia="en-GB"/>
              </w:rPr>
              <w:t>678</w:t>
            </w:r>
          </w:p>
        </w:tc>
        <w:tc>
          <w:tcPr>
            <w:tcW w:w="400" w:type="dxa"/>
            <w:tcBorders>
              <w:top w:val="nil"/>
              <w:left w:val="nil"/>
              <w:bottom w:val="nil"/>
              <w:right w:val="nil"/>
            </w:tcBorders>
            <w:shd w:val="clear" w:color="000000" w:fill="F2F2F2"/>
            <w:noWrap/>
            <w:vAlign w:val="center"/>
            <w:hideMark/>
          </w:tcPr>
          <w:p w:rsidRPr="00920F7B" w:rsidR="004149B0" w:rsidP="00E838EC" w:rsidRDefault="004149B0">
            <w:pPr>
              <w:overflowPunct/>
              <w:autoSpaceDE/>
              <w:autoSpaceDN/>
              <w:adjustRightInd/>
              <w:jc w:val="right"/>
              <w:textAlignment w:val="auto"/>
              <w:rPr>
                <w:rFonts w:ascii="Verdana" w:hAnsi="Verdana" w:cs="Calibri"/>
                <w:color w:val="000000"/>
                <w:sz w:val="20"/>
                <w:lang w:eastAsia="en-GB"/>
              </w:rPr>
            </w:pPr>
            <w:r w:rsidRPr="00920F7B">
              <w:rPr>
                <w:rFonts w:ascii="Verdana" w:hAnsi="Verdana" w:cs="Calibri"/>
                <w:color w:val="000000"/>
                <w:sz w:val="20"/>
                <w:lang w:eastAsia="en-GB"/>
              </w:rPr>
              <w:t> </w:t>
            </w:r>
          </w:p>
        </w:tc>
        <w:tc>
          <w:tcPr>
            <w:tcW w:w="1240" w:type="dxa"/>
            <w:tcBorders>
              <w:top w:val="nil"/>
              <w:left w:val="nil"/>
              <w:bottom w:val="nil"/>
              <w:right w:val="nil"/>
            </w:tcBorders>
            <w:shd w:val="clear" w:color="000000" w:fill="F2F2F2"/>
            <w:vAlign w:val="bottom"/>
          </w:tcPr>
          <w:p w:rsidRPr="00920F7B" w:rsidR="004149B0" w:rsidP="00C963B4" w:rsidRDefault="009316A8">
            <w:pPr>
              <w:overflowPunct/>
              <w:autoSpaceDE/>
              <w:autoSpaceDN/>
              <w:adjustRightInd/>
              <w:jc w:val="right"/>
              <w:textAlignment w:val="auto"/>
              <w:rPr>
                <w:rFonts w:ascii="Verdana" w:hAnsi="Verdana" w:cs="Calibri"/>
                <w:color w:val="000000"/>
                <w:sz w:val="20"/>
                <w:lang w:eastAsia="en-GB"/>
              </w:rPr>
            </w:pPr>
            <w:r>
              <w:rPr>
                <w:rFonts w:ascii="Verdana" w:hAnsi="Verdana" w:cs="Calibri"/>
                <w:color w:val="000000"/>
                <w:sz w:val="20"/>
                <w:lang w:eastAsia="en-GB"/>
              </w:rPr>
              <w:t>1</w:t>
            </w:r>
            <w:r w:rsidR="00C963B4">
              <w:rPr>
                <w:rFonts w:ascii="Verdana" w:hAnsi="Verdana" w:cs="Calibri"/>
                <w:color w:val="000000"/>
                <w:sz w:val="20"/>
                <w:lang w:eastAsia="en-GB"/>
              </w:rPr>
              <w:t>4</w:t>
            </w:r>
            <w:r>
              <w:rPr>
                <w:rFonts w:ascii="Verdana" w:hAnsi="Verdana" w:cs="Calibri"/>
                <w:color w:val="000000"/>
                <w:sz w:val="20"/>
                <w:lang w:eastAsia="en-GB"/>
              </w:rPr>
              <w:t>,</w:t>
            </w:r>
            <w:r w:rsidR="00C963B4">
              <w:rPr>
                <w:rFonts w:ascii="Verdana" w:hAnsi="Verdana" w:cs="Calibri"/>
                <w:color w:val="000000"/>
                <w:sz w:val="20"/>
                <w:lang w:eastAsia="en-GB"/>
              </w:rPr>
              <w:t>477</w:t>
            </w:r>
          </w:p>
        </w:tc>
      </w:tr>
      <w:tr w:rsidRPr="008B41ED" w:rsidR="004149B0" w:rsidTr="004149B0">
        <w:trPr>
          <w:trHeight w:val="270"/>
        </w:trPr>
        <w:tc>
          <w:tcPr>
            <w:tcW w:w="6580" w:type="dxa"/>
            <w:tcBorders>
              <w:top w:val="nil"/>
              <w:left w:val="nil"/>
              <w:bottom w:val="nil"/>
              <w:right w:val="nil"/>
            </w:tcBorders>
            <w:shd w:val="clear" w:color="000000" w:fill="F2F2F2"/>
            <w:vAlign w:val="center"/>
            <w:hideMark/>
          </w:tcPr>
          <w:p w:rsidRPr="00920F7B" w:rsidR="004149B0" w:rsidP="00E838EC" w:rsidRDefault="004149B0">
            <w:pPr>
              <w:overflowPunct/>
              <w:autoSpaceDE/>
              <w:autoSpaceDN/>
              <w:adjustRightInd/>
              <w:jc w:val="left"/>
              <w:textAlignment w:val="auto"/>
              <w:rPr>
                <w:rFonts w:ascii="Verdana" w:hAnsi="Verdana" w:cs="Calibri"/>
                <w:color w:val="000000"/>
                <w:sz w:val="20"/>
                <w:lang w:eastAsia="en-GB"/>
              </w:rPr>
            </w:pPr>
            <w:r w:rsidRPr="00920F7B">
              <w:rPr>
                <w:rFonts w:ascii="Verdana" w:hAnsi="Verdana" w:cs="Calibri"/>
                <w:color w:val="000000"/>
                <w:sz w:val="20"/>
                <w:lang w:eastAsia="en-GB"/>
              </w:rPr>
              <w:t>Tax on (Deficit)/Surplus on ordinary activities</w:t>
            </w:r>
          </w:p>
        </w:tc>
        <w:tc>
          <w:tcPr>
            <w:tcW w:w="1640" w:type="dxa"/>
            <w:tcBorders>
              <w:top w:val="single" w:color="auto" w:sz="4" w:space="0"/>
              <w:left w:val="nil"/>
              <w:bottom w:val="single" w:color="auto" w:sz="8" w:space="0"/>
              <w:right w:val="nil"/>
            </w:tcBorders>
            <w:shd w:val="clear" w:color="000000" w:fill="F2F2F2"/>
            <w:noWrap/>
            <w:vAlign w:val="bottom"/>
          </w:tcPr>
          <w:p w:rsidRPr="00920F7B" w:rsidR="004149B0" w:rsidP="00C963B4" w:rsidRDefault="00C963B4">
            <w:pPr>
              <w:overflowPunct/>
              <w:autoSpaceDE/>
              <w:autoSpaceDN/>
              <w:adjustRightInd/>
              <w:jc w:val="right"/>
              <w:textAlignment w:val="auto"/>
              <w:rPr>
                <w:rFonts w:ascii="Verdana" w:hAnsi="Verdana" w:cs="Calibri"/>
                <w:color w:val="000000"/>
                <w:sz w:val="20"/>
                <w:lang w:eastAsia="en-GB"/>
              </w:rPr>
            </w:pPr>
            <w:r>
              <w:rPr>
                <w:rFonts w:ascii="Verdana" w:hAnsi="Verdana" w:cs="Calibri"/>
                <w:color w:val="000000"/>
                <w:sz w:val="20"/>
                <w:lang w:eastAsia="en-GB"/>
              </w:rPr>
              <w:t>8,678</w:t>
            </w:r>
          </w:p>
        </w:tc>
        <w:tc>
          <w:tcPr>
            <w:tcW w:w="400" w:type="dxa"/>
            <w:tcBorders>
              <w:top w:val="nil"/>
              <w:left w:val="nil"/>
              <w:bottom w:val="nil"/>
              <w:right w:val="nil"/>
            </w:tcBorders>
            <w:shd w:val="clear" w:color="000000" w:fill="F2F2F2"/>
            <w:noWrap/>
            <w:vAlign w:val="center"/>
            <w:hideMark/>
          </w:tcPr>
          <w:p w:rsidRPr="00920F7B" w:rsidR="004149B0" w:rsidP="00E838EC" w:rsidRDefault="004149B0">
            <w:pPr>
              <w:overflowPunct/>
              <w:autoSpaceDE/>
              <w:autoSpaceDN/>
              <w:adjustRightInd/>
              <w:jc w:val="right"/>
              <w:textAlignment w:val="auto"/>
              <w:rPr>
                <w:rFonts w:ascii="Verdana" w:hAnsi="Verdana" w:cs="Calibri"/>
                <w:color w:val="000000"/>
                <w:sz w:val="20"/>
                <w:lang w:eastAsia="en-GB"/>
              </w:rPr>
            </w:pPr>
            <w:r w:rsidRPr="00920F7B">
              <w:rPr>
                <w:rFonts w:ascii="Verdana" w:hAnsi="Verdana" w:cs="Calibri"/>
                <w:color w:val="000000"/>
                <w:sz w:val="20"/>
                <w:lang w:eastAsia="en-GB"/>
              </w:rPr>
              <w:t> </w:t>
            </w:r>
          </w:p>
        </w:tc>
        <w:tc>
          <w:tcPr>
            <w:tcW w:w="1240" w:type="dxa"/>
            <w:tcBorders>
              <w:top w:val="single" w:color="auto" w:sz="4" w:space="0"/>
              <w:left w:val="nil"/>
              <w:bottom w:val="single" w:color="auto" w:sz="8" w:space="0"/>
              <w:right w:val="nil"/>
            </w:tcBorders>
            <w:shd w:val="clear" w:color="000000" w:fill="F2F2F2"/>
            <w:vAlign w:val="bottom"/>
          </w:tcPr>
          <w:p w:rsidRPr="00920F7B" w:rsidR="004149B0" w:rsidP="00C963B4" w:rsidRDefault="00920F7B">
            <w:pPr>
              <w:overflowPunct/>
              <w:autoSpaceDE/>
              <w:autoSpaceDN/>
              <w:adjustRightInd/>
              <w:jc w:val="right"/>
              <w:textAlignment w:val="auto"/>
              <w:rPr>
                <w:rFonts w:ascii="Verdana" w:hAnsi="Verdana" w:cs="Calibri"/>
                <w:color w:val="000000"/>
                <w:sz w:val="20"/>
                <w:lang w:eastAsia="en-GB"/>
              </w:rPr>
            </w:pPr>
            <w:r w:rsidRPr="00920F7B">
              <w:rPr>
                <w:rFonts w:ascii="Verdana" w:hAnsi="Verdana" w:cs="Calibri"/>
                <w:color w:val="000000"/>
                <w:sz w:val="20"/>
                <w:lang w:eastAsia="en-GB"/>
              </w:rPr>
              <w:t>1</w:t>
            </w:r>
            <w:r w:rsidR="00C963B4">
              <w:rPr>
                <w:rFonts w:ascii="Verdana" w:hAnsi="Verdana" w:cs="Calibri"/>
                <w:color w:val="000000"/>
                <w:sz w:val="20"/>
                <w:lang w:eastAsia="en-GB"/>
              </w:rPr>
              <w:t>4</w:t>
            </w:r>
            <w:r w:rsidRPr="00920F7B">
              <w:rPr>
                <w:rFonts w:ascii="Verdana" w:hAnsi="Verdana" w:cs="Calibri"/>
                <w:color w:val="000000"/>
                <w:sz w:val="20"/>
                <w:lang w:eastAsia="en-GB"/>
              </w:rPr>
              <w:t>,</w:t>
            </w:r>
            <w:r w:rsidR="00C963B4">
              <w:rPr>
                <w:rFonts w:ascii="Verdana" w:hAnsi="Verdana" w:cs="Calibri"/>
                <w:color w:val="000000"/>
                <w:sz w:val="20"/>
                <w:lang w:eastAsia="en-GB"/>
              </w:rPr>
              <w:t>477</w:t>
            </w:r>
          </w:p>
        </w:tc>
      </w:tr>
    </w:tbl>
    <w:p w:rsidRPr="008B41ED" w:rsidR="00E838EC" w:rsidP="00E9305A" w:rsidRDefault="00E838EC">
      <w:pPr>
        <w:overflowPunct/>
        <w:autoSpaceDE/>
        <w:autoSpaceDN/>
        <w:adjustRightInd/>
        <w:textAlignment w:val="auto"/>
        <w:rPr>
          <w:rFonts w:ascii="Verdana" w:hAnsi="Verdana" w:cs="Arial"/>
          <w:b/>
          <w:sz w:val="20"/>
          <w:highlight w:val="yellow"/>
          <w:lang w:eastAsia="en-GB"/>
        </w:rPr>
      </w:pPr>
    </w:p>
    <w:p w:rsidRPr="00CD1564" w:rsidR="00E838EC" w:rsidP="00E9305A" w:rsidRDefault="00E838EC">
      <w:pPr>
        <w:overflowPunct/>
        <w:autoSpaceDE/>
        <w:autoSpaceDN/>
        <w:adjustRightInd/>
        <w:textAlignment w:val="auto"/>
        <w:rPr>
          <w:rFonts w:ascii="Verdana" w:hAnsi="Verdana" w:cs="Arial"/>
          <w:b/>
          <w:sz w:val="20"/>
          <w:lang w:eastAsia="en-GB"/>
        </w:rPr>
      </w:pPr>
    </w:p>
    <w:p w:rsidRPr="00CD1564" w:rsidR="00E9305A" w:rsidP="00E9305A" w:rsidRDefault="00E9305A">
      <w:pPr>
        <w:overflowPunct/>
        <w:autoSpaceDE/>
        <w:autoSpaceDN/>
        <w:adjustRightInd/>
        <w:textAlignment w:val="auto"/>
        <w:rPr>
          <w:rFonts w:ascii="Verdana" w:hAnsi="Verdana" w:cs="Arial"/>
          <w:b/>
          <w:sz w:val="20"/>
          <w:lang w:eastAsia="en-GB"/>
        </w:rPr>
      </w:pPr>
      <w:r w:rsidRPr="00CD1564">
        <w:rPr>
          <w:rFonts w:ascii="Verdana" w:hAnsi="Verdana" w:cs="Arial"/>
          <w:b/>
          <w:sz w:val="20"/>
          <w:lang w:eastAsia="en-GB"/>
        </w:rPr>
        <w:t>B. Current tax reconciliation</w:t>
      </w:r>
    </w:p>
    <w:p w:rsidRPr="00CD1564" w:rsidR="00E9305A" w:rsidP="00E9305A" w:rsidRDefault="00E9305A">
      <w:pPr>
        <w:overflowPunct/>
        <w:autoSpaceDE/>
        <w:autoSpaceDN/>
        <w:adjustRightInd/>
        <w:textAlignment w:val="auto"/>
        <w:rPr>
          <w:rFonts w:ascii="Verdana" w:hAnsi="Verdana" w:cs="Arial"/>
          <w:sz w:val="20"/>
          <w:lang w:eastAsia="en-GB"/>
        </w:rPr>
      </w:pPr>
    </w:p>
    <w:p w:rsidRPr="00CD1564" w:rsidR="00E9305A" w:rsidP="00E9305A" w:rsidRDefault="00E9305A">
      <w:pPr>
        <w:overflowPunct/>
        <w:autoSpaceDE/>
        <w:autoSpaceDN/>
        <w:adjustRightInd/>
        <w:textAlignment w:val="auto"/>
        <w:rPr>
          <w:rFonts w:ascii="Verdana" w:hAnsi="Verdana" w:cs="Arial"/>
          <w:sz w:val="20"/>
          <w:lang w:eastAsia="en-GB"/>
        </w:rPr>
      </w:pPr>
      <w:r w:rsidRPr="00CD1564">
        <w:rPr>
          <w:rFonts w:ascii="Verdana" w:hAnsi="Verdana" w:cs="Arial"/>
          <w:sz w:val="20"/>
          <w:lang w:eastAsia="en-GB"/>
        </w:rPr>
        <w:t>Factors affecting the tax charge for the current period</w:t>
      </w:r>
      <w:r w:rsidRPr="00CD1564" w:rsidR="00E838EC">
        <w:rPr>
          <w:rFonts w:ascii="Verdana" w:hAnsi="Verdana" w:cs="Arial"/>
          <w:sz w:val="20"/>
          <w:lang w:eastAsia="en-GB"/>
        </w:rPr>
        <w:t>:</w:t>
      </w:r>
    </w:p>
    <w:p w:rsidRPr="00CD1564" w:rsidR="00BA7F17" w:rsidP="00E9305A" w:rsidRDefault="006A5FF6">
      <w:pPr>
        <w:pStyle w:val="ACText"/>
        <w:rPr>
          <w:rFonts w:ascii="Verdana" w:hAnsi="Verdana" w:cs="Arial"/>
        </w:rPr>
      </w:pPr>
      <w:r w:rsidRPr="00CD1564">
        <w:rPr>
          <w:rFonts w:ascii="Verdana" w:hAnsi="Verdana" w:cs="Arial"/>
        </w:rPr>
        <w:t>The tax assessed for the year</w:t>
      </w:r>
      <w:r w:rsidRPr="00CD1564" w:rsidR="00E9305A">
        <w:rPr>
          <w:rFonts w:ascii="Verdana" w:hAnsi="Verdana" w:cs="Arial"/>
        </w:rPr>
        <w:t xml:space="preserve"> differs from the standard rate of corporation tax. The differences are explained below.</w:t>
      </w:r>
    </w:p>
    <w:p w:rsidRPr="00CD1564" w:rsidR="00E838EC" w:rsidP="00E9305A" w:rsidRDefault="00E838EC">
      <w:pPr>
        <w:pStyle w:val="ACText"/>
        <w:rPr>
          <w:rFonts w:ascii="Verdana" w:hAnsi="Verdana" w:cs="Arial"/>
        </w:rPr>
      </w:pPr>
    </w:p>
    <w:tbl>
      <w:tblPr>
        <w:tblW w:w="9860" w:type="dxa"/>
        <w:tblInd w:w="93" w:type="dxa"/>
        <w:tblLook w:val="04A0" w:firstRow="1" w:lastRow="0" w:firstColumn="1" w:lastColumn="0" w:noHBand="0" w:noVBand="1"/>
      </w:tblPr>
      <w:tblGrid>
        <w:gridCol w:w="6580"/>
        <w:gridCol w:w="1640"/>
        <w:gridCol w:w="400"/>
        <w:gridCol w:w="1240"/>
      </w:tblGrid>
      <w:tr w:rsidRPr="00CD1564" w:rsidR="004149B0" w:rsidTr="004149B0">
        <w:trPr>
          <w:trHeight w:val="255"/>
        </w:trPr>
        <w:tc>
          <w:tcPr>
            <w:tcW w:w="6580" w:type="dxa"/>
            <w:tcBorders>
              <w:top w:val="nil"/>
              <w:left w:val="nil"/>
              <w:bottom w:val="nil"/>
              <w:right w:val="nil"/>
            </w:tcBorders>
            <w:shd w:val="clear" w:color="000000" w:fill="F2F2F2"/>
            <w:vAlign w:val="center"/>
            <w:hideMark/>
          </w:tcPr>
          <w:p w:rsidRPr="00CD1564" w:rsidR="004149B0" w:rsidP="00E838EC" w:rsidRDefault="004149B0">
            <w:pPr>
              <w:overflowPunct/>
              <w:autoSpaceDE/>
              <w:autoSpaceDN/>
              <w:adjustRightInd/>
              <w:jc w:val="left"/>
              <w:textAlignment w:val="auto"/>
              <w:rPr>
                <w:rFonts w:ascii="Verdana" w:hAnsi="Verdana" w:cs="Calibri"/>
                <w:color w:val="000000"/>
                <w:sz w:val="20"/>
                <w:lang w:eastAsia="en-GB"/>
              </w:rPr>
            </w:pPr>
            <w:r w:rsidRPr="00CD1564">
              <w:rPr>
                <w:rFonts w:ascii="Verdana" w:hAnsi="Verdana" w:cs="Calibri"/>
                <w:color w:val="000000"/>
                <w:sz w:val="20"/>
                <w:lang w:eastAsia="en-GB"/>
              </w:rPr>
              <w:t> </w:t>
            </w:r>
          </w:p>
        </w:tc>
        <w:tc>
          <w:tcPr>
            <w:tcW w:w="1640" w:type="dxa"/>
            <w:tcBorders>
              <w:top w:val="nil"/>
              <w:left w:val="nil"/>
              <w:bottom w:val="nil"/>
              <w:right w:val="nil"/>
            </w:tcBorders>
            <w:shd w:val="clear" w:color="000000" w:fill="F2F2F2"/>
            <w:noWrap/>
            <w:vAlign w:val="bottom"/>
            <w:hideMark/>
          </w:tcPr>
          <w:p w:rsidRPr="00CD1564" w:rsidR="004149B0" w:rsidP="000A7081" w:rsidRDefault="004149B0">
            <w:pPr>
              <w:overflowPunct/>
              <w:autoSpaceDE/>
              <w:autoSpaceDN/>
              <w:adjustRightInd/>
              <w:jc w:val="right"/>
              <w:textAlignment w:val="auto"/>
              <w:rPr>
                <w:rFonts w:ascii="Verdana" w:hAnsi="Verdana" w:cs="Calibri"/>
                <w:b/>
                <w:bCs/>
                <w:color w:val="000000"/>
                <w:sz w:val="20"/>
                <w:lang w:eastAsia="en-GB"/>
              </w:rPr>
            </w:pPr>
            <w:r w:rsidRPr="00CD1564">
              <w:rPr>
                <w:rFonts w:ascii="Verdana" w:hAnsi="Verdana" w:cs="Calibri"/>
                <w:b/>
                <w:bCs/>
                <w:color w:val="000000"/>
                <w:sz w:val="20"/>
                <w:lang w:eastAsia="en-GB"/>
              </w:rPr>
              <w:t>201</w:t>
            </w:r>
            <w:r w:rsidR="000A7081">
              <w:rPr>
                <w:rFonts w:ascii="Verdana" w:hAnsi="Verdana" w:cs="Calibri"/>
                <w:b/>
                <w:bCs/>
                <w:color w:val="000000"/>
                <w:sz w:val="20"/>
                <w:lang w:eastAsia="en-GB"/>
              </w:rPr>
              <w:t>7</w:t>
            </w:r>
            <w:r w:rsidRPr="00CD1564">
              <w:rPr>
                <w:rFonts w:ascii="Verdana" w:hAnsi="Verdana" w:cs="Calibri"/>
                <w:b/>
                <w:bCs/>
                <w:color w:val="000000"/>
                <w:sz w:val="20"/>
                <w:lang w:eastAsia="en-GB"/>
              </w:rPr>
              <w:t>-1</w:t>
            </w:r>
            <w:r w:rsidR="000A7081">
              <w:rPr>
                <w:rFonts w:ascii="Verdana" w:hAnsi="Verdana" w:cs="Calibri"/>
                <w:b/>
                <w:bCs/>
                <w:color w:val="000000"/>
                <w:sz w:val="20"/>
                <w:lang w:eastAsia="en-GB"/>
              </w:rPr>
              <w:t>8</w:t>
            </w:r>
          </w:p>
        </w:tc>
        <w:tc>
          <w:tcPr>
            <w:tcW w:w="400" w:type="dxa"/>
            <w:tcBorders>
              <w:top w:val="nil"/>
              <w:left w:val="nil"/>
              <w:bottom w:val="nil"/>
              <w:right w:val="nil"/>
            </w:tcBorders>
            <w:shd w:val="clear" w:color="000000" w:fill="F2F2F2"/>
            <w:noWrap/>
            <w:vAlign w:val="center"/>
            <w:hideMark/>
          </w:tcPr>
          <w:p w:rsidRPr="00CD1564" w:rsidR="004149B0" w:rsidP="00E838EC" w:rsidRDefault="004149B0">
            <w:pPr>
              <w:overflowPunct/>
              <w:autoSpaceDE/>
              <w:autoSpaceDN/>
              <w:adjustRightInd/>
              <w:jc w:val="right"/>
              <w:textAlignment w:val="auto"/>
              <w:rPr>
                <w:rFonts w:ascii="Verdana" w:hAnsi="Verdana" w:cs="Calibri"/>
                <w:color w:val="000000"/>
                <w:sz w:val="20"/>
                <w:lang w:eastAsia="en-GB"/>
              </w:rPr>
            </w:pPr>
            <w:r w:rsidRPr="00CD1564">
              <w:rPr>
                <w:rFonts w:ascii="Verdana" w:hAnsi="Verdana" w:cs="Calibri"/>
                <w:color w:val="000000"/>
                <w:sz w:val="20"/>
                <w:lang w:eastAsia="en-GB"/>
              </w:rPr>
              <w:t> </w:t>
            </w:r>
          </w:p>
        </w:tc>
        <w:tc>
          <w:tcPr>
            <w:tcW w:w="1240" w:type="dxa"/>
            <w:tcBorders>
              <w:top w:val="nil"/>
              <w:left w:val="nil"/>
              <w:bottom w:val="nil"/>
              <w:right w:val="nil"/>
            </w:tcBorders>
            <w:shd w:val="clear" w:color="000000" w:fill="F2F2F2"/>
            <w:vAlign w:val="bottom"/>
          </w:tcPr>
          <w:p w:rsidRPr="00CD1564" w:rsidR="004149B0" w:rsidP="000A7081" w:rsidRDefault="004149B0">
            <w:pPr>
              <w:overflowPunct/>
              <w:autoSpaceDE/>
              <w:autoSpaceDN/>
              <w:adjustRightInd/>
              <w:jc w:val="right"/>
              <w:textAlignment w:val="auto"/>
              <w:rPr>
                <w:rFonts w:ascii="Verdana" w:hAnsi="Verdana" w:cs="Calibri"/>
                <w:b/>
                <w:bCs/>
                <w:color w:val="000000"/>
                <w:sz w:val="20"/>
                <w:lang w:eastAsia="en-GB"/>
              </w:rPr>
            </w:pPr>
            <w:r w:rsidRPr="00CD1564">
              <w:rPr>
                <w:rFonts w:ascii="Verdana" w:hAnsi="Verdana" w:cs="Calibri"/>
                <w:b/>
                <w:bCs/>
                <w:color w:val="000000"/>
                <w:sz w:val="20"/>
                <w:lang w:eastAsia="en-GB"/>
              </w:rPr>
              <w:t>201</w:t>
            </w:r>
            <w:r w:rsidR="000A7081">
              <w:rPr>
                <w:rFonts w:ascii="Verdana" w:hAnsi="Verdana" w:cs="Calibri"/>
                <w:b/>
                <w:bCs/>
                <w:color w:val="000000"/>
                <w:sz w:val="20"/>
                <w:lang w:eastAsia="en-GB"/>
              </w:rPr>
              <w:t>6</w:t>
            </w:r>
            <w:r w:rsidRPr="00CD1564">
              <w:rPr>
                <w:rFonts w:ascii="Verdana" w:hAnsi="Verdana" w:cs="Calibri"/>
                <w:b/>
                <w:bCs/>
                <w:color w:val="000000"/>
                <w:sz w:val="20"/>
                <w:lang w:eastAsia="en-GB"/>
              </w:rPr>
              <w:t>-1</w:t>
            </w:r>
            <w:r w:rsidR="000A7081">
              <w:rPr>
                <w:rFonts w:ascii="Verdana" w:hAnsi="Verdana" w:cs="Calibri"/>
                <w:b/>
                <w:bCs/>
                <w:color w:val="000000"/>
                <w:sz w:val="20"/>
                <w:lang w:eastAsia="en-GB"/>
              </w:rPr>
              <w:t>7</w:t>
            </w:r>
          </w:p>
        </w:tc>
      </w:tr>
      <w:tr w:rsidRPr="00CD1564" w:rsidR="004149B0" w:rsidTr="004149B0">
        <w:trPr>
          <w:trHeight w:val="255"/>
        </w:trPr>
        <w:tc>
          <w:tcPr>
            <w:tcW w:w="6580" w:type="dxa"/>
            <w:tcBorders>
              <w:top w:val="nil"/>
              <w:left w:val="nil"/>
              <w:bottom w:val="nil"/>
              <w:right w:val="nil"/>
            </w:tcBorders>
            <w:shd w:val="clear" w:color="000000" w:fill="F2F2F2"/>
            <w:vAlign w:val="center"/>
            <w:hideMark/>
          </w:tcPr>
          <w:p w:rsidRPr="00CD1564" w:rsidR="004149B0" w:rsidP="00E838EC" w:rsidRDefault="004149B0">
            <w:pPr>
              <w:overflowPunct/>
              <w:autoSpaceDE/>
              <w:autoSpaceDN/>
              <w:adjustRightInd/>
              <w:jc w:val="left"/>
              <w:textAlignment w:val="auto"/>
              <w:rPr>
                <w:rFonts w:ascii="Verdana" w:hAnsi="Verdana" w:cs="Calibri"/>
                <w:color w:val="000000"/>
                <w:sz w:val="20"/>
                <w:lang w:eastAsia="en-GB"/>
              </w:rPr>
            </w:pPr>
            <w:r w:rsidRPr="00CD1564">
              <w:rPr>
                <w:rFonts w:ascii="Verdana" w:hAnsi="Verdana" w:cs="Calibri"/>
                <w:color w:val="000000"/>
                <w:sz w:val="20"/>
                <w:lang w:eastAsia="en-GB"/>
              </w:rPr>
              <w:t> </w:t>
            </w:r>
          </w:p>
        </w:tc>
        <w:tc>
          <w:tcPr>
            <w:tcW w:w="1640" w:type="dxa"/>
            <w:tcBorders>
              <w:top w:val="nil"/>
              <w:left w:val="nil"/>
              <w:bottom w:val="nil"/>
              <w:right w:val="nil"/>
            </w:tcBorders>
            <w:shd w:val="clear" w:color="000000" w:fill="F2F2F2"/>
            <w:noWrap/>
            <w:vAlign w:val="bottom"/>
            <w:hideMark/>
          </w:tcPr>
          <w:p w:rsidRPr="00CD1564" w:rsidR="004149B0" w:rsidP="00E838EC" w:rsidRDefault="004149B0">
            <w:pPr>
              <w:overflowPunct/>
              <w:autoSpaceDE/>
              <w:autoSpaceDN/>
              <w:adjustRightInd/>
              <w:jc w:val="right"/>
              <w:textAlignment w:val="auto"/>
              <w:rPr>
                <w:rFonts w:ascii="Verdana" w:hAnsi="Verdana" w:cs="Calibri"/>
                <w:b/>
                <w:bCs/>
                <w:color w:val="000000"/>
                <w:sz w:val="20"/>
                <w:lang w:eastAsia="en-GB"/>
              </w:rPr>
            </w:pPr>
            <w:r w:rsidRPr="00CD1564">
              <w:rPr>
                <w:rFonts w:ascii="Verdana" w:hAnsi="Verdana" w:cs="Calibri"/>
                <w:b/>
                <w:bCs/>
                <w:color w:val="000000"/>
                <w:sz w:val="20"/>
                <w:lang w:eastAsia="en-GB"/>
              </w:rPr>
              <w:t>£</w:t>
            </w:r>
          </w:p>
        </w:tc>
        <w:tc>
          <w:tcPr>
            <w:tcW w:w="400" w:type="dxa"/>
            <w:tcBorders>
              <w:top w:val="nil"/>
              <w:left w:val="nil"/>
              <w:bottom w:val="nil"/>
              <w:right w:val="nil"/>
            </w:tcBorders>
            <w:shd w:val="clear" w:color="000000" w:fill="F2F2F2"/>
            <w:noWrap/>
            <w:vAlign w:val="center"/>
            <w:hideMark/>
          </w:tcPr>
          <w:p w:rsidRPr="00CD1564" w:rsidR="004149B0" w:rsidP="00E838EC" w:rsidRDefault="004149B0">
            <w:pPr>
              <w:overflowPunct/>
              <w:autoSpaceDE/>
              <w:autoSpaceDN/>
              <w:adjustRightInd/>
              <w:jc w:val="right"/>
              <w:textAlignment w:val="auto"/>
              <w:rPr>
                <w:rFonts w:ascii="Verdana" w:hAnsi="Verdana" w:cs="Calibri"/>
                <w:color w:val="000000"/>
                <w:sz w:val="20"/>
                <w:lang w:eastAsia="en-GB"/>
              </w:rPr>
            </w:pPr>
            <w:r w:rsidRPr="00CD1564">
              <w:rPr>
                <w:rFonts w:ascii="Verdana" w:hAnsi="Verdana" w:cs="Calibri"/>
                <w:color w:val="000000"/>
                <w:sz w:val="20"/>
                <w:lang w:eastAsia="en-GB"/>
              </w:rPr>
              <w:t> </w:t>
            </w:r>
          </w:p>
        </w:tc>
        <w:tc>
          <w:tcPr>
            <w:tcW w:w="1240" w:type="dxa"/>
            <w:tcBorders>
              <w:top w:val="nil"/>
              <w:left w:val="nil"/>
              <w:bottom w:val="nil"/>
              <w:right w:val="nil"/>
            </w:tcBorders>
            <w:shd w:val="clear" w:color="000000" w:fill="F2F2F2"/>
            <w:vAlign w:val="bottom"/>
          </w:tcPr>
          <w:p w:rsidRPr="00CD1564" w:rsidR="004149B0" w:rsidP="00AF5C73" w:rsidRDefault="004149B0">
            <w:pPr>
              <w:overflowPunct/>
              <w:autoSpaceDE/>
              <w:autoSpaceDN/>
              <w:adjustRightInd/>
              <w:jc w:val="right"/>
              <w:textAlignment w:val="auto"/>
              <w:rPr>
                <w:rFonts w:ascii="Verdana" w:hAnsi="Verdana" w:cs="Calibri"/>
                <w:b/>
                <w:bCs/>
                <w:color w:val="000000"/>
                <w:sz w:val="20"/>
                <w:lang w:eastAsia="en-GB"/>
              </w:rPr>
            </w:pPr>
            <w:r w:rsidRPr="00CD1564">
              <w:rPr>
                <w:rFonts w:ascii="Verdana" w:hAnsi="Verdana" w:cs="Calibri"/>
                <w:b/>
                <w:bCs/>
                <w:color w:val="000000"/>
                <w:sz w:val="20"/>
                <w:lang w:eastAsia="en-GB"/>
              </w:rPr>
              <w:t>£</w:t>
            </w:r>
          </w:p>
        </w:tc>
      </w:tr>
      <w:tr w:rsidRPr="00CD1564" w:rsidR="004149B0" w:rsidTr="004149B0">
        <w:trPr>
          <w:trHeight w:val="255"/>
        </w:trPr>
        <w:tc>
          <w:tcPr>
            <w:tcW w:w="6580" w:type="dxa"/>
            <w:tcBorders>
              <w:top w:val="nil"/>
              <w:left w:val="nil"/>
              <w:bottom w:val="nil"/>
              <w:right w:val="nil"/>
            </w:tcBorders>
            <w:shd w:val="clear" w:color="000000" w:fill="F2F2F2"/>
            <w:vAlign w:val="center"/>
            <w:hideMark/>
          </w:tcPr>
          <w:p w:rsidRPr="00CD1564" w:rsidR="004149B0" w:rsidP="00E838EC" w:rsidRDefault="004149B0">
            <w:pPr>
              <w:overflowPunct/>
              <w:autoSpaceDE/>
              <w:autoSpaceDN/>
              <w:adjustRightInd/>
              <w:jc w:val="left"/>
              <w:textAlignment w:val="auto"/>
              <w:rPr>
                <w:rFonts w:ascii="Verdana" w:hAnsi="Verdana" w:cs="Calibri"/>
                <w:color w:val="000000"/>
                <w:sz w:val="20"/>
                <w:lang w:eastAsia="en-GB"/>
              </w:rPr>
            </w:pPr>
            <w:r w:rsidRPr="00CD1564">
              <w:rPr>
                <w:rFonts w:ascii="Verdana" w:hAnsi="Verdana" w:cs="Calibri"/>
                <w:color w:val="000000"/>
                <w:sz w:val="20"/>
                <w:lang w:eastAsia="en-GB"/>
              </w:rPr>
              <w:t xml:space="preserve">Interest Received </w:t>
            </w:r>
          </w:p>
        </w:tc>
        <w:tc>
          <w:tcPr>
            <w:tcW w:w="1640" w:type="dxa"/>
            <w:tcBorders>
              <w:top w:val="nil"/>
              <w:left w:val="nil"/>
              <w:bottom w:val="nil"/>
              <w:right w:val="nil"/>
            </w:tcBorders>
            <w:shd w:val="clear" w:color="000000" w:fill="F2F2F2"/>
            <w:noWrap/>
            <w:vAlign w:val="bottom"/>
          </w:tcPr>
          <w:p w:rsidRPr="00CD1564" w:rsidR="004149B0" w:rsidP="000A7081" w:rsidRDefault="000A7081">
            <w:pPr>
              <w:overflowPunct/>
              <w:autoSpaceDE/>
              <w:autoSpaceDN/>
              <w:adjustRightInd/>
              <w:jc w:val="right"/>
              <w:textAlignment w:val="auto"/>
              <w:rPr>
                <w:rFonts w:ascii="Verdana" w:hAnsi="Verdana" w:cs="Calibri"/>
                <w:color w:val="000000"/>
                <w:sz w:val="20"/>
                <w:lang w:eastAsia="en-GB"/>
              </w:rPr>
            </w:pPr>
            <w:r>
              <w:rPr>
                <w:rFonts w:ascii="Verdana" w:hAnsi="Verdana" w:cs="Calibri"/>
                <w:color w:val="000000"/>
                <w:sz w:val="20"/>
                <w:lang w:eastAsia="en-GB"/>
              </w:rPr>
              <w:t>43</w:t>
            </w:r>
            <w:r w:rsidRPr="00CD1564" w:rsidR="00CD1564">
              <w:rPr>
                <w:rFonts w:ascii="Verdana" w:hAnsi="Verdana" w:cs="Calibri"/>
                <w:color w:val="000000"/>
                <w:sz w:val="20"/>
                <w:lang w:eastAsia="en-GB"/>
              </w:rPr>
              <w:t>,38</w:t>
            </w:r>
            <w:r>
              <w:rPr>
                <w:rFonts w:ascii="Verdana" w:hAnsi="Verdana" w:cs="Calibri"/>
                <w:color w:val="000000"/>
                <w:sz w:val="20"/>
                <w:lang w:eastAsia="en-GB"/>
              </w:rPr>
              <w:t>8</w:t>
            </w:r>
          </w:p>
        </w:tc>
        <w:tc>
          <w:tcPr>
            <w:tcW w:w="400" w:type="dxa"/>
            <w:tcBorders>
              <w:top w:val="nil"/>
              <w:left w:val="nil"/>
              <w:bottom w:val="nil"/>
              <w:right w:val="nil"/>
            </w:tcBorders>
            <w:shd w:val="clear" w:color="000000" w:fill="F2F2F2"/>
            <w:noWrap/>
            <w:vAlign w:val="center"/>
            <w:hideMark/>
          </w:tcPr>
          <w:p w:rsidRPr="00CD1564" w:rsidR="004149B0" w:rsidP="00E838EC" w:rsidRDefault="004149B0">
            <w:pPr>
              <w:overflowPunct/>
              <w:autoSpaceDE/>
              <w:autoSpaceDN/>
              <w:adjustRightInd/>
              <w:jc w:val="right"/>
              <w:textAlignment w:val="auto"/>
              <w:rPr>
                <w:rFonts w:ascii="Verdana" w:hAnsi="Verdana" w:cs="Calibri"/>
                <w:color w:val="000000"/>
                <w:sz w:val="20"/>
                <w:lang w:eastAsia="en-GB"/>
              </w:rPr>
            </w:pPr>
            <w:r w:rsidRPr="00CD1564">
              <w:rPr>
                <w:rFonts w:ascii="Verdana" w:hAnsi="Verdana" w:cs="Calibri"/>
                <w:color w:val="000000"/>
                <w:sz w:val="20"/>
                <w:lang w:eastAsia="en-GB"/>
              </w:rPr>
              <w:t> </w:t>
            </w:r>
          </w:p>
        </w:tc>
        <w:tc>
          <w:tcPr>
            <w:tcW w:w="1240" w:type="dxa"/>
            <w:tcBorders>
              <w:top w:val="nil"/>
              <w:left w:val="nil"/>
              <w:bottom w:val="nil"/>
              <w:right w:val="nil"/>
            </w:tcBorders>
            <w:shd w:val="clear" w:color="000000" w:fill="F2F2F2"/>
            <w:vAlign w:val="bottom"/>
          </w:tcPr>
          <w:p w:rsidRPr="00CD1564" w:rsidR="004149B0" w:rsidP="000A7081" w:rsidRDefault="000A7081">
            <w:pPr>
              <w:overflowPunct/>
              <w:autoSpaceDE/>
              <w:autoSpaceDN/>
              <w:adjustRightInd/>
              <w:jc w:val="right"/>
              <w:textAlignment w:val="auto"/>
              <w:rPr>
                <w:rFonts w:ascii="Verdana" w:hAnsi="Verdana" w:cs="Calibri"/>
                <w:color w:val="000000"/>
                <w:sz w:val="20"/>
                <w:lang w:eastAsia="en-GB"/>
              </w:rPr>
            </w:pPr>
            <w:r>
              <w:rPr>
                <w:rFonts w:ascii="Verdana" w:hAnsi="Verdana" w:cs="Calibri"/>
                <w:color w:val="000000"/>
                <w:sz w:val="20"/>
                <w:lang w:eastAsia="en-GB"/>
              </w:rPr>
              <w:t>72</w:t>
            </w:r>
            <w:r w:rsidRPr="00CD1564" w:rsidR="00CD1564">
              <w:rPr>
                <w:rFonts w:ascii="Verdana" w:hAnsi="Verdana" w:cs="Calibri"/>
                <w:color w:val="000000"/>
                <w:sz w:val="20"/>
                <w:lang w:eastAsia="en-GB"/>
              </w:rPr>
              <w:t>,</w:t>
            </w:r>
            <w:r>
              <w:rPr>
                <w:rFonts w:ascii="Verdana" w:hAnsi="Verdana" w:cs="Calibri"/>
                <w:color w:val="000000"/>
                <w:sz w:val="20"/>
                <w:lang w:eastAsia="en-GB"/>
              </w:rPr>
              <w:t>383</w:t>
            </w:r>
          </w:p>
        </w:tc>
      </w:tr>
      <w:tr w:rsidRPr="00CD1564" w:rsidR="004149B0" w:rsidTr="004149B0">
        <w:trPr>
          <w:trHeight w:val="255"/>
        </w:trPr>
        <w:tc>
          <w:tcPr>
            <w:tcW w:w="6580" w:type="dxa"/>
            <w:tcBorders>
              <w:top w:val="nil"/>
              <w:left w:val="nil"/>
              <w:bottom w:val="nil"/>
              <w:right w:val="nil"/>
            </w:tcBorders>
            <w:shd w:val="clear" w:color="000000" w:fill="F2F2F2"/>
            <w:vAlign w:val="center"/>
          </w:tcPr>
          <w:p w:rsidRPr="00CD1564" w:rsidR="004149B0" w:rsidP="00E838EC" w:rsidRDefault="004149B0">
            <w:pPr>
              <w:overflowPunct/>
              <w:autoSpaceDE/>
              <w:autoSpaceDN/>
              <w:adjustRightInd/>
              <w:jc w:val="left"/>
              <w:textAlignment w:val="auto"/>
              <w:rPr>
                <w:rFonts w:ascii="Verdana" w:hAnsi="Verdana" w:cs="Calibri"/>
                <w:color w:val="000000"/>
                <w:sz w:val="20"/>
                <w:lang w:eastAsia="en-GB"/>
              </w:rPr>
            </w:pPr>
            <w:r w:rsidRPr="00CD1564">
              <w:rPr>
                <w:rFonts w:ascii="Verdana" w:hAnsi="Verdana" w:cs="Calibri"/>
                <w:color w:val="000000"/>
                <w:sz w:val="20"/>
                <w:lang w:eastAsia="en-GB"/>
              </w:rPr>
              <w:t>Third Party Trading</w:t>
            </w:r>
          </w:p>
        </w:tc>
        <w:tc>
          <w:tcPr>
            <w:tcW w:w="1640" w:type="dxa"/>
            <w:tcBorders>
              <w:top w:val="nil"/>
              <w:left w:val="nil"/>
              <w:bottom w:val="nil"/>
              <w:right w:val="nil"/>
            </w:tcBorders>
            <w:shd w:val="clear" w:color="000000" w:fill="F2F2F2"/>
            <w:noWrap/>
            <w:vAlign w:val="bottom"/>
          </w:tcPr>
          <w:p w:rsidRPr="00CD1564" w:rsidR="004149B0" w:rsidP="00E838EC" w:rsidRDefault="004149B0">
            <w:pPr>
              <w:overflowPunct/>
              <w:autoSpaceDE/>
              <w:autoSpaceDN/>
              <w:adjustRightInd/>
              <w:jc w:val="right"/>
              <w:textAlignment w:val="auto"/>
              <w:rPr>
                <w:rFonts w:ascii="Verdana" w:hAnsi="Verdana" w:cs="Calibri"/>
                <w:color w:val="000000"/>
                <w:sz w:val="20"/>
                <w:lang w:eastAsia="en-GB"/>
              </w:rPr>
            </w:pPr>
            <w:r w:rsidRPr="00CD1564">
              <w:rPr>
                <w:rFonts w:ascii="Verdana" w:hAnsi="Verdana" w:cs="Calibri"/>
                <w:color w:val="000000"/>
                <w:sz w:val="20"/>
                <w:lang w:eastAsia="en-GB"/>
              </w:rPr>
              <w:t>0</w:t>
            </w:r>
          </w:p>
        </w:tc>
        <w:tc>
          <w:tcPr>
            <w:tcW w:w="400" w:type="dxa"/>
            <w:tcBorders>
              <w:top w:val="nil"/>
              <w:left w:val="nil"/>
              <w:bottom w:val="nil"/>
              <w:right w:val="nil"/>
            </w:tcBorders>
            <w:shd w:val="clear" w:color="000000" w:fill="F2F2F2"/>
            <w:noWrap/>
            <w:vAlign w:val="center"/>
          </w:tcPr>
          <w:p w:rsidRPr="00CD1564" w:rsidR="004149B0" w:rsidP="00E838EC" w:rsidRDefault="004149B0">
            <w:pPr>
              <w:overflowPunct/>
              <w:autoSpaceDE/>
              <w:autoSpaceDN/>
              <w:adjustRightInd/>
              <w:jc w:val="right"/>
              <w:textAlignment w:val="auto"/>
              <w:rPr>
                <w:rFonts w:ascii="Verdana" w:hAnsi="Verdana" w:cs="Calibri"/>
                <w:color w:val="000000"/>
                <w:sz w:val="20"/>
                <w:lang w:eastAsia="en-GB"/>
              </w:rPr>
            </w:pPr>
          </w:p>
        </w:tc>
        <w:tc>
          <w:tcPr>
            <w:tcW w:w="1240" w:type="dxa"/>
            <w:tcBorders>
              <w:top w:val="nil"/>
              <w:left w:val="nil"/>
              <w:bottom w:val="nil"/>
              <w:right w:val="nil"/>
            </w:tcBorders>
            <w:shd w:val="clear" w:color="000000" w:fill="F2F2F2"/>
            <w:vAlign w:val="bottom"/>
          </w:tcPr>
          <w:p w:rsidRPr="00CD1564" w:rsidR="004149B0" w:rsidP="00AF5C73" w:rsidRDefault="004149B0">
            <w:pPr>
              <w:overflowPunct/>
              <w:autoSpaceDE/>
              <w:autoSpaceDN/>
              <w:adjustRightInd/>
              <w:jc w:val="right"/>
              <w:textAlignment w:val="auto"/>
              <w:rPr>
                <w:rFonts w:ascii="Verdana" w:hAnsi="Verdana" w:cs="Calibri"/>
                <w:color w:val="000000"/>
                <w:sz w:val="20"/>
                <w:lang w:eastAsia="en-GB"/>
              </w:rPr>
            </w:pPr>
            <w:r w:rsidRPr="00CD1564">
              <w:rPr>
                <w:rFonts w:ascii="Verdana" w:hAnsi="Verdana" w:cs="Calibri"/>
                <w:color w:val="000000"/>
                <w:sz w:val="20"/>
                <w:lang w:eastAsia="en-GB"/>
              </w:rPr>
              <w:t>0</w:t>
            </w:r>
          </w:p>
        </w:tc>
      </w:tr>
      <w:tr w:rsidRPr="00CD1564" w:rsidR="004149B0" w:rsidTr="004149B0">
        <w:trPr>
          <w:trHeight w:val="270"/>
        </w:trPr>
        <w:tc>
          <w:tcPr>
            <w:tcW w:w="6580" w:type="dxa"/>
            <w:tcBorders>
              <w:top w:val="nil"/>
              <w:left w:val="nil"/>
              <w:bottom w:val="nil"/>
              <w:right w:val="nil"/>
            </w:tcBorders>
            <w:shd w:val="clear" w:color="000000" w:fill="F2F2F2"/>
            <w:vAlign w:val="center"/>
            <w:hideMark/>
          </w:tcPr>
          <w:p w:rsidRPr="00CD1564" w:rsidR="004149B0" w:rsidP="00E838EC" w:rsidRDefault="004149B0">
            <w:pPr>
              <w:overflowPunct/>
              <w:autoSpaceDE/>
              <w:autoSpaceDN/>
              <w:adjustRightInd/>
              <w:jc w:val="left"/>
              <w:textAlignment w:val="auto"/>
              <w:rPr>
                <w:rFonts w:ascii="Verdana" w:hAnsi="Verdana" w:cs="Calibri"/>
                <w:color w:val="000000"/>
                <w:sz w:val="20"/>
                <w:lang w:eastAsia="en-GB"/>
              </w:rPr>
            </w:pPr>
            <w:r w:rsidRPr="00CD1564">
              <w:rPr>
                <w:rFonts w:ascii="Verdana" w:hAnsi="Verdana" w:cs="Calibri"/>
                <w:color w:val="000000"/>
                <w:sz w:val="20"/>
                <w:lang w:eastAsia="en-GB"/>
              </w:rPr>
              <w:t>Total current tax charge at 20%</w:t>
            </w:r>
          </w:p>
        </w:tc>
        <w:tc>
          <w:tcPr>
            <w:tcW w:w="1640" w:type="dxa"/>
            <w:tcBorders>
              <w:top w:val="single" w:color="auto" w:sz="4" w:space="0"/>
              <w:left w:val="nil"/>
              <w:bottom w:val="single" w:color="auto" w:sz="8" w:space="0"/>
              <w:right w:val="nil"/>
            </w:tcBorders>
            <w:shd w:val="clear" w:color="000000" w:fill="F2F2F2"/>
            <w:noWrap/>
            <w:vAlign w:val="bottom"/>
          </w:tcPr>
          <w:p w:rsidRPr="00CD1564" w:rsidR="004149B0" w:rsidP="000A7081" w:rsidRDefault="000A7081">
            <w:pPr>
              <w:overflowPunct/>
              <w:autoSpaceDE/>
              <w:autoSpaceDN/>
              <w:adjustRightInd/>
              <w:jc w:val="right"/>
              <w:textAlignment w:val="auto"/>
              <w:rPr>
                <w:rFonts w:ascii="Verdana" w:hAnsi="Verdana" w:cs="Calibri"/>
                <w:color w:val="000000"/>
                <w:sz w:val="20"/>
                <w:lang w:eastAsia="en-GB"/>
              </w:rPr>
            </w:pPr>
            <w:r>
              <w:rPr>
                <w:rFonts w:ascii="Verdana" w:hAnsi="Verdana" w:cs="Calibri"/>
                <w:color w:val="000000"/>
                <w:sz w:val="20"/>
                <w:lang w:eastAsia="en-GB"/>
              </w:rPr>
              <w:t>8</w:t>
            </w:r>
            <w:r w:rsidR="00075F02">
              <w:rPr>
                <w:rFonts w:ascii="Verdana" w:hAnsi="Verdana" w:cs="Calibri"/>
                <w:color w:val="000000"/>
                <w:sz w:val="20"/>
                <w:lang w:eastAsia="en-GB"/>
              </w:rPr>
              <w:t>,</w:t>
            </w:r>
            <w:r>
              <w:rPr>
                <w:rFonts w:ascii="Verdana" w:hAnsi="Verdana" w:cs="Calibri"/>
                <w:color w:val="000000"/>
                <w:sz w:val="20"/>
                <w:lang w:eastAsia="en-GB"/>
              </w:rPr>
              <w:t>678</w:t>
            </w:r>
          </w:p>
        </w:tc>
        <w:tc>
          <w:tcPr>
            <w:tcW w:w="400" w:type="dxa"/>
            <w:tcBorders>
              <w:top w:val="nil"/>
              <w:left w:val="nil"/>
              <w:bottom w:val="nil"/>
              <w:right w:val="nil"/>
            </w:tcBorders>
            <w:shd w:val="clear" w:color="000000" w:fill="F2F2F2"/>
            <w:noWrap/>
            <w:vAlign w:val="center"/>
            <w:hideMark/>
          </w:tcPr>
          <w:p w:rsidRPr="00CD1564" w:rsidR="004149B0" w:rsidP="00E838EC" w:rsidRDefault="004149B0">
            <w:pPr>
              <w:overflowPunct/>
              <w:autoSpaceDE/>
              <w:autoSpaceDN/>
              <w:adjustRightInd/>
              <w:jc w:val="right"/>
              <w:textAlignment w:val="auto"/>
              <w:rPr>
                <w:rFonts w:ascii="Verdana" w:hAnsi="Verdana" w:cs="Calibri"/>
                <w:color w:val="000000"/>
                <w:sz w:val="20"/>
                <w:lang w:eastAsia="en-GB"/>
              </w:rPr>
            </w:pPr>
            <w:r w:rsidRPr="00CD1564">
              <w:rPr>
                <w:rFonts w:ascii="Verdana" w:hAnsi="Verdana" w:cs="Calibri"/>
                <w:color w:val="000000"/>
                <w:sz w:val="20"/>
                <w:lang w:eastAsia="en-GB"/>
              </w:rPr>
              <w:t> </w:t>
            </w:r>
          </w:p>
        </w:tc>
        <w:tc>
          <w:tcPr>
            <w:tcW w:w="1240" w:type="dxa"/>
            <w:tcBorders>
              <w:top w:val="single" w:color="auto" w:sz="4" w:space="0"/>
              <w:left w:val="nil"/>
              <w:bottom w:val="single" w:color="auto" w:sz="8" w:space="0"/>
              <w:right w:val="nil"/>
            </w:tcBorders>
            <w:shd w:val="clear" w:color="000000" w:fill="F2F2F2"/>
            <w:vAlign w:val="bottom"/>
          </w:tcPr>
          <w:p w:rsidRPr="00CD1564" w:rsidR="004149B0" w:rsidP="000A7081" w:rsidRDefault="00CD1564">
            <w:pPr>
              <w:overflowPunct/>
              <w:autoSpaceDE/>
              <w:autoSpaceDN/>
              <w:adjustRightInd/>
              <w:jc w:val="right"/>
              <w:textAlignment w:val="auto"/>
              <w:rPr>
                <w:rFonts w:ascii="Verdana" w:hAnsi="Verdana" w:cs="Calibri"/>
                <w:color w:val="000000"/>
                <w:sz w:val="20"/>
                <w:lang w:eastAsia="en-GB"/>
              </w:rPr>
            </w:pPr>
            <w:r w:rsidRPr="00CD1564">
              <w:rPr>
                <w:rFonts w:ascii="Verdana" w:hAnsi="Verdana" w:cs="Calibri"/>
                <w:color w:val="000000"/>
                <w:sz w:val="20"/>
                <w:lang w:eastAsia="en-GB"/>
              </w:rPr>
              <w:t>1</w:t>
            </w:r>
            <w:r w:rsidR="000A7081">
              <w:rPr>
                <w:rFonts w:ascii="Verdana" w:hAnsi="Verdana" w:cs="Calibri"/>
                <w:color w:val="000000"/>
                <w:sz w:val="20"/>
                <w:lang w:eastAsia="en-GB"/>
              </w:rPr>
              <w:t>4</w:t>
            </w:r>
            <w:r w:rsidRPr="00CD1564">
              <w:rPr>
                <w:rFonts w:ascii="Verdana" w:hAnsi="Verdana" w:cs="Calibri"/>
                <w:color w:val="000000"/>
                <w:sz w:val="20"/>
                <w:lang w:eastAsia="en-GB"/>
              </w:rPr>
              <w:t>,</w:t>
            </w:r>
            <w:r w:rsidR="000A7081">
              <w:rPr>
                <w:rFonts w:ascii="Verdana" w:hAnsi="Verdana" w:cs="Calibri"/>
                <w:color w:val="000000"/>
                <w:sz w:val="20"/>
                <w:lang w:eastAsia="en-GB"/>
              </w:rPr>
              <w:t>477</w:t>
            </w:r>
          </w:p>
        </w:tc>
      </w:tr>
    </w:tbl>
    <w:p w:rsidRPr="00CD1564" w:rsidR="00E838EC" w:rsidP="00E9305A" w:rsidRDefault="00E838EC">
      <w:pPr>
        <w:pStyle w:val="ACText"/>
        <w:rPr>
          <w:rFonts w:ascii="Verdana" w:hAnsi="Verdana" w:cs="Arial"/>
        </w:rPr>
      </w:pPr>
    </w:p>
    <w:p w:rsidRPr="00CD1564" w:rsidR="00E9305A" w:rsidP="00E9305A" w:rsidRDefault="0043184D">
      <w:pPr>
        <w:pStyle w:val="ACText"/>
        <w:rPr>
          <w:rFonts w:ascii="Verdana" w:hAnsi="Verdana" w:cs="Arial"/>
        </w:rPr>
      </w:pPr>
      <w:r w:rsidRPr="00CD1564">
        <w:rPr>
          <w:rFonts w:ascii="Verdana" w:hAnsi="Verdana" w:cs="Arial"/>
        </w:rPr>
        <w:t>Published g</w:t>
      </w:r>
      <w:r w:rsidRPr="00CD1564" w:rsidR="00E9305A">
        <w:rPr>
          <w:rFonts w:ascii="Verdana" w:hAnsi="Verdana" w:cs="Arial"/>
        </w:rPr>
        <w:t>uidance from HMRC states that transactions be</w:t>
      </w:r>
      <w:r w:rsidRPr="00CD1564" w:rsidR="00E55F65">
        <w:rPr>
          <w:rFonts w:ascii="Verdana" w:hAnsi="Verdana" w:cs="Arial"/>
        </w:rPr>
        <w:t>tween an ALMO and a Council do</w:t>
      </w:r>
      <w:r w:rsidRPr="00CD1564" w:rsidR="00E9305A">
        <w:rPr>
          <w:rFonts w:ascii="Verdana" w:hAnsi="Verdana" w:cs="Arial"/>
        </w:rPr>
        <w:t xml:space="preserve"> not constitute trading and</w:t>
      </w:r>
      <w:r w:rsidRPr="00CD1564" w:rsidR="004714FE">
        <w:rPr>
          <w:rFonts w:ascii="Verdana" w:hAnsi="Verdana" w:cs="Arial"/>
        </w:rPr>
        <w:t xml:space="preserve"> are </w:t>
      </w:r>
      <w:r w:rsidRPr="00CD1564" w:rsidR="00A958E2">
        <w:rPr>
          <w:rFonts w:ascii="Verdana" w:hAnsi="Verdana" w:cs="Arial"/>
        </w:rPr>
        <w:t>therefore non-taxable. The C</w:t>
      </w:r>
      <w:r w:rsidRPr="00CD1564" w:rsidR="00E9305A">
        <w:rPr>
          <w:rFonts w:ascii="Verdana" w:hAnsi="Verdana" w:cs="Arial"/>
        </w:rPr>
        <w:t>ompany is liable to tax on dealings with any third parties and any interest received</w:t>
      </w:r>
      <w:r w:rsidRPr="00CD1564">
        <w:rPr>
          <w:rFonts w:ascii="Verdana" w:hAnsi="Verdana" w:cs="Arial"/>
        </w:rPr>
        <w:t>;</w:t>
      </w:r>
      <w:r w:rsidRPr="00CD1564" w:rsidR="00E9305A">
        <w:rPr>
          <w:rFonts w:ascii="Verdana" w:hAnsi="Verdana" w:cs="Arial"/>
        </w:rPr>
        <w:t xml:space="preserve"> the </w:t>
      </w:r>
      <w:r w:rsidRPr="00CD1564" w:rsidR="008F4912">
        <w:rPr>
          <w:rFonts w:ascii="Verdana" w:hAnsi="Verdana" w:cs="Arial"/>
        </w:rPr>
        <w:t xml:space="preserve">rate and amount payable </w:t>
      </w:r>
      <w:r w:rsidRPr="00CD1564" w:rsidR="00E9305A">
        <w:rPr>
          <w:rFonts w:ascii="Verdana" w:hAnsi="Verdana" w:cs="Arial"/>
        </w:rPr>
        <w:t>reflect</w:t>
      </w:r>
      <w:r w:rsidRPr="00CD1564" w:rsidR="008F4912">
        <w:rPr>
          <w:rFonts w:ascii="Verdana" w:hAnsi="Verdana" w:cs="Arial"/>
        </w:rPr>
        <w:t>s</w:t>
      </w:r>
      <w:r w:rsidRPr="00CD1564" w:rsidR="00E9305A">
        <w:rPr>
          <w:rFonts w:ascii="Verdana" w:hAnsi="Verdana" w:cs="Arial"/>
        </w:rPr>
        <w:t xml:space="preserve"> this position.</w:t>
      </w:r>
    </w:p>
    <w:p w:rsidRPr="00CD1564" w:rsidR="00872774" w:rsidP="00E9305A" w:rsidRDefault="00E9305A">
      <w:pPr>
        <w:pStyle w:val="ACText"/>
        <w:rPr>
          <w:rFonts w:ascii="Verdana" w:hAnsi="Verdana" w:cs="Arial"/>
        </w:rPr>
      </w:pPr>
      <w:r w:rsidRPr="00CD1564">
        <w:rPr>
          <w:rFonts w:ascii="Verdana" w:hAnsi="Verdana" w:cs="Arial"/>
        </w:rPr>
        <w:t>The basis of this ruling is that the relationship between the ALMO and the Council lacks the necessary degree of commerciality to be trading for corporation tax purposes. Should the relationship between the bodies change, or should the ALMO diversify its activities, then this exemption may not be available.</w:t>
      </w:r>
    </w:p>
    <w:p w:rsidRPr="006656B3" w:rsidR="00F17EE8" w:rsidP="00E9305A" w:rsidRDefault="00201D0C">
      <w:pPr>
        <w:pStyle w:val="Heading1"/>
        <w:numPr>
          <w:ilvl w:val="0"/>
          <w:numId w:val="0"/>
        </w:numPr>
        <w:rPr>
          <w:rFonts w:ascii="Verdana" w:hAnsi="Verdana" w:cs="Arial"/>
        </w:rPr>
      </w:pPr>
      <w:bookmarkStart w:name="_9._Tangible_fixed" w:id="90"/>
      <w:bookmarkEnd w:id="90"/>
      <w:r w:rsidRPr="00CD1564">
        <w:rPr>
          <w:rFonts w:ascii="Verdana" w:hAnsi="Verdana" w:cs="Arial"/>
          <w:sz w:val="26"/>
          <w:szCs w:val="26"/>
        </w:rPr>
        <w:br w:type="page"/>
      </w:r>
      <w:r w:rsidRPr="006656B3" w:rsidR="00F17EE8">
        <w:rPr>
          <w:rFonts w:ascii="Verdana" w:hAnsi="Verdana" w:cs="Arial"/>
          <w:sz w:val="26"/>
          <w:szCs w:val="26"/>
        </w:rPr>
        <w:t>Notes – continued</w:t>
      </w:r>
    </w:p>
    <w:p w:rsidRPr="006656B3" w:rsidR="00D23C16" w:rsidP="00D23C16" w:rsidRDefault="004C030C">
      <w:pPr>
        <w:pStyle w:val="Heading1"/>
        <w:numPr>
          <w:ilvl w:val="0"/>
          <w:numId w:val="0"/>
        </w:numPr>
        <w:rPr>
          <w:rFonts w:ascii="Verdana" w:hAnsi="Verdana" w:cs="Arial"/>
        </w:rPr>
      </w:pPr>
      <w:r w:rsidRPr="006656B3">
        <w:rPr>
          <w:rFonts w:ascii="Verdana" w:hAnsi="Verdana" w:cs="Arial"/>
        </w:rPr>
        <w:t>8</w:t>
      </w:r>
      <w:r w:rsidRPr="006656B3" w:rsidR="00E9305A">
        <w:rPr>
          <w:rFonts w:ascii="Verdana" w:hAnsi="Verdana" w:cs="Arial"/>
        </w:rPr>
        <w:t>. Tangible fixed assets</w:t>
      </w:r>
    </w:p>
    <w:p w:rsidRPr="006656B3" w:rsidR="0053572D" w:rsidP="0053572D" w:rsidRDefault="0053572D"/>
    <w:tbl>
      <w:tblPr>
        <w:tblW w:w="9638" w:type="dxa"/>
        <w:tblInd w:w="108" w:type="dxa"/>
        <w:tblLook w:val="04A0" w:firstRow="1" w:lastRow="0" w:firstColumn="1" w:lastColumn="0" w:noHBand="0" w:noVBand="1"/>
      </w:tblPr>
      <w:tblGrid>
        <w:gridCol w:w="8222"/>
        <w:gridCol w:w="1416"/>
      </w:tblGrid>
      <w:tr w:rsidRPr="002F633F" w:rsidR="002F633F" w:rsidTr="002F633F">
        <w:trPr>
          <w:trHeight w:val="300"/>
        </w:trPr>
        <w:tc>
          <w:tcPr>
            <w:tcW w:w="8222" w:type="dxa"/>
            <w:tcBorders>
              <w:top w:val="nil"/>
              <w:left w:val="nil"/>
              <w:bottom w:val="nil"/>
              <w:right w:val="nil"/>
            </w:tcBorders>
            <w:shd w:val="clear" w:color="000000" w:fill="F2F2F2"/>
            <w:noWrap/>
            <w:vAlign w:val="center"/>
          </w:tcPr>
          <w:p w:rsidR="002F633F" w:rsidRDefault="002F633F">
            <w:pPr>
              <w:rPr>
                <w:rFonts w:ascii="Verdana" w:hAnsi="Verdana"/>
                <w:b/>
                <w:bCs/>
                <w:color w:val="000000"/>
                <w:sz w:val="20"/>
              </w:rPr>
            </w:pPr>
            <w:r>
              <w:rPr>
                <w:rFonts w:ascii="Verdana" w:hAnsi="Verdana"/>
                <w:b/>
                <w:bCs/>
                <w:color w:val="000000"/>
                <w:sz w:val="20"/>
              </w:rPr>
              <w:t xml:space="preserve">Fixtures Fittings &amp; Equipment </w:t>
            </w:r>
          </w:p>
        </w:tc>
        <w:tc>
          <w:tcPr>
            <w:tcW w:w="1416" w:type="dxa"/>
            <w:tcBorders>
              <w:top w:val="nil"/>
              <w:left w:val="nil"/>
              <w:bottom w:val="nil"/>
              <w:right w:val="nil"/>
            </w:tcBorders>
            <w:shd w:val="clear" w:color="000000" w:fill="F2F2F2"/>
            <w:noWrap/>
            <w:vAlign w:val="center"/>
          </w:tcPr>
          <w:p w:rsidR="002F633F" w:rsidRDefault="002F633F">
            <w:pPr>
              <w:jc w:val="right"/>
              <w:rPr>
                <w:rFonts w:ascii="Verdana" w:hAnsi="Verdana"/>
                <w:b/>
                <w:bCs/>
                <w:color w:val="000000"/>
                <w:sz w:val="20"/>
              </w:rPr>
            </w:pPr>
            <w:r>
              <w:rPr>
                <w:rFonts w:ascii="Verdana" w:hAnsi="Verdana"/>
                <w:b/>
                <w:bCs/>
                <w:color w:val="000000"/>
                <w:sz w:val="20"/>
              </w:rPr>
              <w:t>£</w:t>
            </w:r>
          </w:p>
        </w:tc>
      </w:tr>
      <w:tr w:rsidRPr="002F633F" w:rsidR="002F633F" w:rsidTr="002F633F">
        <w:trPr>
          <w:trHeight w:val="300"/>
        </w:trPr>
        <w:tc>
          <w:tcPr>
            <w:tcW w:w="8222" w:type="dxa"/>
            <w:tcBorders>
              <w:top w:val="nil"/>
              <w:left w:val="nil"/>
              <w:bottom w:val="nil"/>
              <w:right w:val="nil"/>
            </w:tcBorders>
            <w:shd w:val="clear" w:color="000000" w:fill="F2F2F2"/>
            <w:noWrap/>
            <w:vAlign w:val="center"/>
          </w:tcPr>
          <w:p w:rsidRPr="002F633F" w:rsidR="002F633F" w:rsidP="002F633F" w:rsidRDefault="002F633F">
            <w:pPr>
              <w:overflowPunct/>
              <w:autoSpaceDE/>
              <w:autoSpaceDN/>
              <w:adjustRightInd/>
              <w:jc w:val="left"/>
              <w:textAlignment w:val="auto"/>
              <w:rPr>
                <w:rFonts w:ascii="Verdana" w:hAnsi="Verdana"/>
                <w:color w:val="000000"/>
                <w:sz w:val="20"/>
                <w:lang w:eastAsia="en-GB"/>
              </w:rPr>
            </w:pPr>
          </w:p>
        </w:tc>
        <w:tc>
          <w:tcPr>
            <w:tcW w:w="1416" w:type="dxa"/>
            <w:tcBorders>
              <w:top w:val="nil"/>
              <w:left w:val="nil"/>
              <w:bottom w:val="nil"/>
              <w:right w:val="nil"/>
            </w:tcBorders>
            <w:shd w:val="clear" w:color="000000" w:fill="F2F2F2"/>
            <w:noWrap/>
            <w:vAlign w:val="center"/>
          </w:tcPr>
          <w:p w:rsidRPr="002F633F" w:rsidR="002F633F" w:rsidP="002F633F" w:rsidRDefault="002F633F">
            <w:pPr>
              <w:overflowPunct/>
              <w:autoSpaceDE/>
              <w:autoSpaceDN/>
              <w:adjustRightInd/>
              <w:jc w:val="right"/>
              <w:textAlignment w:val="auto"/>
              <w:rPr>
                <w:rFonts w:ascii="Verdana" w:hAnsi="Verdana"/>
                <w:color w:val="000000"/>
                <w:sz w:val="20"/>
                <w:lang w:eastAsia="en-GB"/>
              </w:rPr>
            </w:pPr>
          </w:p>
        </w:tc>
      </w:tr>
      <w:tr w:rsidRPr="002F633F" w:rsidR="002F633F" w:rsidTr="002F633F">
        <w:trPr>
          <w:trHeight w:val="300"/>
        </w:trPr>
        <w:tc>
          <w:tcPr>
            <w:tcW w:w="8222" w:type="dxa"/>
            <w:tcBorders>
              <w:top w:val="nil"/>
              <w:left w:val="nil"/>
              <w:bottom w:val="nil"/>
              <w:right w:val="nil"/>
            </w:tcBorders>
            <w:shd w:val="clear" w:color="000000" w:fill="F2F2F2"/>
            <w:noWrap/>
            <w:vAlign w:val="center"/>
            <w:hideMark/>
          </w:tcPr>
          <w:p w:rsidRPr="002F633F" w:rsidR="002F633F" w:rsidP="002F633F" w:rsidRDefault="002F633F">
            <w:pPr>
              <w:overflowPunct/>
              <w:autoSpaceDE/>
              <w:autoSpaceDN/>
              <w:adjustRightInd/>
              <w:jc w:val="left"/>
              <w:textAlignment w:val="auto"/>
              <w:rPr>
                <w:rFonts w:ascii="Verdana" w:hAnsi="Verdana"/>
                <w:color w:val="000000"/>
                <w:sz w:val="20"/>
                <w:lang w:eastAsia="en-GB"/>
              </w:rPr>
            </w:pPr>
            <w:r w:rsidRPr="002F633F">
              <w:rPr>
                <w:rFonts w:ascii="Verdana" w:hAnsi="Verdana"/>
                <w:color w:val="000000"/>
                <w:sz w:val="20"/>
                <w:lang w:eastAsia="en-GB"/>
              </w:rPr>
              <w:t>At Cost 31 March 2017</w:t>
            </w:r>
          </w:p>
        </w:tc>
        <w:tc>
          <w:tcPr>
            <w:tcW w:w="1416" w:type="dxa"/>
            <w:tcBorders>
              <w:top w:val="nil"/>
              <w:left w:val="nil"/>
              <w:bottom w:val="nil"/>
              <w:right w:val="nil"/>
            </w:tcBorders>
            <w:shd w:val="clear" w:color="000000" w:fill="F2F2F2"/>
            <w:noWrap/>
            <w:vAlign w:val="center"/>
            <w:hideMark/>
          </w:tcPr>
          <w:p w:rsidRPr="002F633F" w:rsidR="002F633F" w:rsidP="002F633F" w:rsidRDefault="002F633F">
            <w:pPr>
              <w:overflowPunct/>
              <w:autoSpaceDE/>
              <w:autoSpaceDN/>
              <w:adjustRightInd/>
              <w:jc w:val="right"/>
              <w:textAlignment w:val="auto"/>
              <w:rPr>
                <w:rFonts w:ascii="Verdana" w:hAnsi="Verdana"/>
                <w:color w:val="000000"/>
                <w:sz w:val="20"/>
                <w:lang w:eastAsia="en-GB"/>
              </w:rPr>
            </w:pPr>
            <w:r w:rsidRPr="002F633F">
              <w:rPr>
                <w:rFonts w:ascii="Verdana" w:hAnsi="Verdana"/>
                <w:color w:val="000000"/>
                <w:sz w:val="20"/>
                <w:lang w:eastAsia="en-GB"/>
              </w:rPr>
              <w:t>645,759</w:t>
            </w:r>
          </w:p>
        </w:tc>
      </w:tr>
      <w:tr w:rsidRPr="002F633F" w:rsidR="002F633F" w:rsidTr="002F633F">
        <w:trPr>
          <w:trHeight w:val="300"/>
        </w:trPr>
        <w:tc>
          <w:tcPr>
            <w:tcW w:w="8222" w:type="dxa"/>
            <w:tcBorders>
              <w:top w:val="nil"/>
              <w:left w:val="nil"/>
              <w:bottom w:val="nil"/>
              <w:right w:val="nil"/>
            </w:tcBorders>
            <w:shd w:val="clear" w:color="000000" w:fill="F2F2F2"/>
            <w:noWrap/>
            <w:vAlign w:val="center"/>
            <w:hideMark/>
          </w:tcPr>
          <w:p w:rsidRPr="002F633F" w:rsidR="002F633F" w:rsidP="002F633F" w:rsidRDefault="002F633F">
            <w:pPr>
              <w:overflowPunct/>
              <w:autoSpaceDE/>
              <w:autoSpaceDN/>
              <w:adjustRightInd/>
              <w:jc w:val="left"/>
              <w:textAlignment w:val="auto"/>
              <w:rPr>
                <w:rFonts w:ascii="Verdana" w:hAnsi="Verdana"/>
                <w:color w:val="000000"/>
                <w:sz w:val="20"/>
                <w:lang w:eastAsia="en-GB"/>
              </w:rPr>
            </w:pPr>
            <w:r w:rsidRPr="002F633F">
              <w:rPr>
                <w:rFonts w:ascii="Verdana" w:hAnsi="Verdana"/>
                <w:color w:val="000000"/>
                <w:sz w:val="20"/>
                <w:lang w:eastAsia="en-GB"/>
              </w:rPr>
              <w:t>Additions</w:t>
            </w:r>
          </w:p>
        </w:tc>
        <w:tc>
          <w:tcPr>
            <w:tcW w:w="1416" w:type="dxa"/>
            <w:tcBorders>
              <w:top w:val="nil"/>
              <w:left w:val="nil"/>
              <w:bottom w:val="nil"/>
              <w:right w:val="nil"/>
            </w:tcBorders>
            <w:shd w:val="clear" w:color="000000" w:fill="F2F2F2"/>
            <w:noWrap/>
            <w:vAlign w:val="center"/>
            <w:hideMark/>
          </w:tcPr>
          <w:p w:rsidRPr="002F633F" w:rsidR="002F633F" w:rsidP="002F633F" w:rsidRDefault="002F633F">
            <w:pPr>
              <w:overflowPunct/>
              <w:autoSpaceDE/>
              <w:autoSpaceDN/>
              <w:adjustRightInd/>
              <w:jc w:val="right"/>
              <w:textAlignment w:val="auto"/>
              <w:rPr>
                <w:rFonts w:ascii="Verdana" w:hAnsi="Verdana"/>
                <w:color w:val="000000"/>
                <w:sz w:val="20"/>
                <w:lang w:eastAsia="en-GB"/>
              </w:rPr>
            </w:pPr>
            <w:r w:rsidRPr="002F633F">
              <w:rPr>
                <w:rFonts w:ascii="Verdana" w:hAnsi="Verdana"/>
                <w:color w:val="000000"/>
                <w:sz w:val="20"/>
                <w:lang w:eastAsia="en-GB"/>
              </w:rPr>
              <w:t>35,134</w:t>
            </w:r>
          </w:p>
        </w:tc>
      </w:tr>
      <w:tr w:rsidRPr="002F633F" w:rsidR="002F633F" w:rsidTr="002F633F">
        <w:trPr>
          <w:trHeight w:val="315"/>
        </w:trPr>
        <w:tc>
          <w:tcPr>
            <w:tcW w:w="8222" w:type="dxa"/>
            <w:tcBorders>
              <w:top w:val="nil"/>
              <w:left w:val="nil"/>
              <w:bottom w:val="nil"/>
              <w:right w:val="nil"/>
            </w:tcBorders>
            <w:shd w:val="clear" w:color="000000" w:fill="F2F2F2"/>
            <w:noWrap/>
            <w:vAlign w:val="center"/>
            <w:hideMark/>
          </w:tcPr>
          <w:p w:rsidRPr="002F633F" w:rsidR="002F633F" w:rsidP="002F633F" w:rsidRDefault="002F633F">
            <w:pPr>
              <w:overflowPunct/>
              <w:autoSpaceDE/>
              <w:autoSpaceDN/>
              <w:adjustRightInd/>
              <w:jc w:val="left"/>
              <w:textAlignment w:val="auto"/>
              <w:rPr>
                <w:rFonts w:ascii="Verdana" w:hAnsi="Verdana"/>
                <w:color w:val="000000"/>
                <w:sz w:val="20"/>
                <w:lang w:eastAsia="en-GB"/>
              </w:rPr>
            </w:pPr>
            <w:r w:rsidRPr="002F633F">
              <w:rPr>
                <w:rFonts w:ascii="Verdana" w:hAnsi="Verdana"/>
                <w:color w:val="000000"/>
                <w:sz w:val="20"/>
                <w:lang w:eastAsia="en-GB"/>
              </w:rPr>
              <w:t>Disposals</w:t>
            </w:r>
          </w:p>
        </w:tc>
        <w:tc>
          <w:tcPr>
            <w:tcW w:w="1416" w:type="dxa"/>
            <w:tcBorders>
              <w:top w:val="nil"/>
              <w:left w:val="nil"/>
              <w:bottom w:val="nil"/>
              <w:right w:val="nil"/>
            </w:tcBorders>
            <w:shd w:val="clear" w:color="000000" w:fill="F2F2F2"/>
            <w:noWrap/>
            <w:vAlign w:val="center"/>
            <w:hideMark/>
          </w:tcPr>
          <w:p w:rsidRPr="00BC2CBF" w:rsidR="002F633F" w:rsidP="002F633F" w:rsidRDefault="00BC2CBF">
            <w:pPr>
              <w:overflowPunct/>
              <w:autoSpaceDE/>
              <w:autoSpaceDN/>
              <w:adjustRightInd/>
              <w:jc w:val="right"/>
              <w:textAlignment w:val="auto"/>
              <w:rPr>
                <w:rFonts w:ascii="Verdana" w:hAnsi="Verdana"/>
                <w:color w:val="000000" w:themeColor="text1"/>
                <w:sz w:val="20"/>
                <w:lang w:eastAsia="en-GB"/>
              </w:rPr>
            </w:pPr>
            <w:r>
              <w:rPr>
                <w:rFonts w:ascii="Verdana" w:hAnsi="Verdana"/>
                <w:color w:val="000000" w:themeColor="text1"/>
                <w:sz w:val="20"/>
                <w:lang w:eastAsia="en-GB"/>
              </w:rPr>
              <w:t>(</w:t>
            </w:r>
            <w:r w:rsidRPr="00BC2CBF" w:rsidR="002F633F">
              <w:rPr>
                <w:rFonts w:ascii="Verdana" w:hAnsi="Verdana"/>
                <w:color w:val="000000" w:themeColor="text1"/>
                <w:sz w:val="20"/>
                <w:lang w:eastAsia="en-GB"/>
              </w:rPr>
              <w:t>2,083</w:t>
            </w:r>
            <w:r>
              <w:rPr>
                <w:rFonts w:ascii="Verdana" w:hAnsi="Verdana"/>
                <w:color w:val="000000" w:themeColor="text1"/>
                <w:sz w:val="20"/>
                <w:lang w:eastAsia="en-GB"/>
              </w:rPr>
              <w:t>)</w:t>
            </w:r>
            <w:r w:rsidRPr="00BC2CBF" w:rsidR="002F633F">
              <w:rPr>
                <w:rFonts w:ascii="Verdana" w:hAnsi="Verdana"/>
                <w:color w:val="000000" w:themeColor="text1"/>
                <w:sz w:val="20"/>
                <w:lang w:eastAsia="en-GB"/>
              </w:rPr>
              <w:t xml:space="preserve"> </w:t>
            </w:r>
          </w:p>
        </w:tc>
      </w:tr>
      <w:tr w:rsidRPr="002F633F" w:rsidR="002F633F" w:rsidTr="002F633F">
        <w:trPr>
          <w:trHeight w:val="315"/>
        </w:trPr>
        <w:tc>
          <w:tcPr>
            <w:tcW w:w="8222" w:type="dxa"/>
            <w:tcBorders>
              <w:top w:val="nil"/>
              <w:left w:val="nil"/>
              <w:bottom w:val="nil"/>
              <w:right w:val="nil"/>
            </w:tcBorders>
            <w:shd w:val="clear" w:color="000000" w:fill="F2F2F2"/>
            <w:noWrap/>
            <w:vAlign w:val="center"/>
            <w:hideMark/>
          </w:tcPr>
          <w:p w:rsidRPr="002F633F" w:rsidR="002F633F" w:rsidP="002F633F" w:rsidRDefault="002F633F">
            <w:pPr>
              <w:overflowPunct/>
              <w:autoSpaceDE/>
              <w:autoSpaceDN/>
              <w:adjustRightInd/>
              <w:jc w:val="left"/>
              <w:textAlignment w:val="auto"/>
              <w:rPr>
                <w:rFonts w:ascii="Verdana" w:hAnsi="Verdana"/>
                <w:color w:val="000000"/>
                <w:sz w:val="20"/>
                <w:lang w:eastAsia="en-GB"/>
              </w:rPr>
            </w:pPr>
            <w:r w:rsidRPr="002F633F">
              <w:rPr>
                <w:rFonts w:ascii="Verdana" w:hAnsi="Verdana"/>
                <w:color w:val="000000"/>
                <w:sz w:val="20"/>
                <w:lang w:eastAsia="en-GB"/>
              </w:rPr>
              <w:t>At Cost 31 March 2018</w:t>
            </w:r>
          </w:p>
        </w:tc>
        <w:tc>
          <w:tcPr>
            <w:tcW w:w="1416" w:type="dxa"/>
            <w:tcBorders>
              <w:top w:val="single" w:color="auto" w:sz="8" w:space="0"/>
              <w:left w:val="nil"/>
              <w:bottom w:val="single" w:color="auto" w:sz="8" w:space="0"/>
              <w:right w:val="nil"/>
            </w:tcBorders>
            <w:shd w:val="clear" w:color="000000" w:fill="F2F2F2"/>
            <w:noWrap/>
            <w:vAlign w:val="center"/>
            <w:hideMark/>
          </w:tcPr>
          <w:p w:rsidRPr="00BC2CBF" w:rsidR="002F633F" w:rsidP="002F633F" w:rsidRDefault="002F633F">
            <w:pPr>
              <w:overflowPunct/>
              <w:autoSpaceDE/>
              <w:autoSpaceDN/>
              <w:adjustRightInd/>
              <w:jc w:val="right"/>
              <w:textAlignment w:val="auto"/>
              <w:rPr>
                <w:rFonts w:ascii="Verdana" w:hAnsi="Verdana"/>
                <w:color w:val="000000" w:themeColor="text1"/>
                <w:sz w:val="20"/>
                <w:lang w:eastAsia="en-GB"/>
              </w:rPr>
            </w:pPr>
            <w:r w:rsidRPr="00BC2CBF">
              <w:rPr>
                <w:rFonts w:ascii="Verdana" w:hAnsi="Verdana"/>
                <w:color w:val="000000" w:themeColor="text1"/>
                <w:sz w:val="20"/>
                <w:lang w:eastAsia="en-GB"/>
              </w:rPr>
              <w:t>678,810</w:t>
            </w:r>
          </w:p>
        </w:tc>
      </w:tr>
      <w:tr w:rsidRPr="002F633F" w:rsidR="002F633F" w:rsidTr="002F633F">
        <w:trPr>
          <w:trHeight w:val="300"/>
        </w:trPr>
        <w:tc>
          <w:tcPr>
            <w:tcW w:w="8222" w:type="dxa"/>
            <w:tcBorders>
              <w:top w:val="nil"/>
              <w:left w:val="nil"/>
              <w:bottom w:val="nil"/>
              <w:right w:val="nil"/>
            </w:tcBorders>
            <w:shd w:val="clear" w:color="000000" w:fill="F2F2F2"/>
            <w:noWrap/>
            <w:vAlign w:val="center"/>
            <w:hideMark/>
          </w:tcPr>
          <w:p w:rsidRPr="002F633F" w:rsidR="002F633F" w:rsidP="002F633F" w:rsidRDefault="002F633F">
            <w:pPr>
              <w:overflowPunct/>
              <w:autoSpaceDE/>
              <w:autoSpaceDN/>
              <w:adjustRightInd/>
              <w:jc w:val="left"/>
              <w:textAlignment w:val="auto"/>
              <w:rPr>
                <w:rFonts w:ascii="Verdana" w:hAnsi="Verdana"/>
                <w:color w:val="000000"/>
                <w:sz w:val="20"/>
                <w:lang w:eastAsia="en-GB"/>
              </w:rPr>
            </w:pPr>
            <w:r w:rsidRPr="002F633F">
              <w:rPr>
                <w:rFonts w:ascii="Verdana" w:hAnsi="Verdana"/>
                <w:color w:val="000000"/>
                <w:sz w:val="20"/>
                <w:lang w:eastAsia="en-GB"/>
              </w:rPr>
              <w:t> </w:t>
            </w:r>
          </w:p>
        </w:tc>
        <w:tc>
          <w:tcPr>
            <w:tcW w:w="1416" w:type="dxa"/>
            <w:tcBorders>
              <w:top w:val="nil"/>
              <w:left w:val="nil"/>
              <w:bottom w:val="nil"/>
              <w:right w:val="nil"/>
            </w:tcBorders>
            <w:shd w:val="clear" w:color="000000" w:fill="F2F2F2"/>
            <w:noWrap/>
            <w:vAlign w:val="center"/>
            <w:hideMark/>
          </w:tcPr>
          <w:p w:rsidRPr="00BC2CBF" w:rsidR="002F633F" w:rsidP="002F633F" w:rsidRDefault="002F633F">
            <w:pPr>
              <w:overflowPunct/>
              <w:autoSpaceDE/>
              <w:autoSpaceDN/>
              <w:adjustRightInd/>
              <w:jc w:val="left"/>
              <w:textAlignment w:val="auto"/>
              <w:rPr>
                <w:rFonts w:ascii="Verdana" w:hAnsi="Verdana"/>
                <w:color w:val="000000" w:themeColor="text1"/>
                <w:sz w:val="20"/>
                <w:lang w:eastAsia="en-GB"/>
              </w:rPr>
            </w:pPr>
            <w:r w:rsidRPr="00BC2CBF">
              <w:rPr>
                <w:rFonts w:ascii="Verdana" w:hAnsi="Verdana"/>
                <w:color w:val="000000" w:themeColor="text1"/>
                <w:sz w:val="20"/>
                <w:lang w:eastAsia="en-GB"/>
              </w:rPr>
              <w:t> </w:t>
            </w:r>
          </w:p>
        </w:tc>
      </w:tr>
      <w:tr w:rsidRPr="002F633F" w:rsidR="002F633F" w:rsidTr="002F633F">
        <w:trPr>
          <w:trHeight w:val="300"/>
        </w:trPr>
        <w:tc>
          <w:tcPr>
            <w:tcW w:w="8222" w:type="dxa"/>
            <w:tcBorders>
              <w:top w:val="nil"/>
              <w:left w:val="nil"/>
              <w:bottom w:val="nil"/>
              <w:right w:val="nil"/>
            </w:tcBorders>
            <w:shd w:val="clear" w:color="000000" w:fill="F2F2F2"/>
            <w:noWrap/>
            <w:vAlign w:val="center"/>
            <w:hideMark/>
          </w:tcPr>
          <w:p w:rsidRPr="002F633F" w:rsidR="002F633F" w:rsidP="002F633F" w:rsidRDefault="002F633F">
            <w:pPr>
              <w:overflowPunct/>
              <w:autoSpaceDE/>
              <w:autoSpaceDN/>
              <w:adjustRightInd/>
              <w:jc w:val="left"/>
              <w:textAlignment w:val="auto"/>
              <w:rPr>
                <w:rFonts w:ascii="Verdana" w:hAnsi="Verdana"/>
                <w:color w:val="000000"/>
                <w:sz w:val="20"/>
                <w:lang w:eastAsia="en-GB"/>
              </w:rPr>
            </w:pPr>
            <w:r w:rsidRPr="002F633F">
              <w:rPr>
                <w:rFonts w:ascii="Verdana" w:hAnsi="Verdana"/>
                <w:color w:val="000000"/>
                <w:sz w:val="20"/>
                <w:lang w:eastAsia="en-GB"/>
              </w:rPr>
              <w:t>Accumulated Depreciation 31 March 2017</w:t>
            </w:r>
          </w:p>
        </w:tc>
        <w:tc>
          <w:tcPr>
            <w:tcW w:w="1416" w:type="dxa"/>
            <w:tcBorders>
              <w:top w:val="nil"/>
              <w:left w:val="nil"/>
              <w:bottom w:val="nil"/>
              <w:right w:val="nil"/>
            </w:tcBorders>
            <w:shd w:val="clear" w:color="000000" w:fill="F2F2F2"/>
            <w:noWrap/>
            <w:vAlign w:val="center"/>
            <w:hideMark/>
          </w:tcPr>
          <w:p w:rsidRPr="00BC2CBF" w:rsidR="002F633F" w:rsidP="002F633F" w:rsidRDefault="002F633F">
            <w:pPr>
              <w:overflowPunct/>
              <w:autoSpaceDE/>
              <w:autoSpaceDN/>
              <w:adjustRightInd/>
              <w:jc w:val="right"/>
              <w:textAlignment w:val="auto"/>
              <w:rPr>
                <w:rFonts w:ascii="Verdana" w:hAnsi="Verdana"/>
                <w:color w:val="000000" w:themeColor="text1"/>
                <w:sz w:val="20"/>
                <w:lang w:eastAsia="en-GB"/>
              </w:rPr>
            </w:pPr>
            <w:r w:rsidRPr="00BC2CBF">
              <w:rPr>
                <w:rFonts w:ascii="Verdana" w:hAnsi="Verdana"/>
                <w:color w:val="000000" w:themeColor="text1"/>
                <w:sz w:val="20"/>
                <w:lang w:eastAsia="en-GB"/>
              </w:rPr>
              <w:t>577,755</w:t>
            </w:r>
          </w:p>
        </w:tc>
      </w:tr>
      <w:tr w:rsidRPr="002F633F" w:rsidR="002F633F" w:rsidTr="002F633F">
        <w:trPr>
          <w:trHeight w:val="300"/>
        </w:trPr>
        <w:tc>
          <w:tcPr>
            <w:tcW w:w="8222" w:type="dxa"/>
            <w:tcBorders>
              <w:top w:val="nil"/>
              <w:left w:val="nil"/>
              <w:bottom w:val="nil"/>
              <w:right w:val="nil"/>
            </w:tcBorders>
            <w:shd w:val="clear" w:color="000000" w:fill="F2F2F2"/>
            <w:noWrap/>
            <w:vAlign w:val="center"/>
            <w:hideMark/>
          </w:tcPr>
          <w:p w:rsidRPr="002F633F" w:rsidR="002F633F" w:rsidP="002F633F" w:rsidRDefault="002F633F">
            <w:pPr>
              <w:overflowPunct/>
              <w:autoSpaceDE/>
              <w:autoSpaceDN/>
              <w:adjustRightInd/>
              <w:jc w:val="left"/>
              <w:textAlignment w:val="auto"/>
              <w:rPr>
                <w:rFonts w:ascii="Verdana" w:hAnsi="Verdana"/>
                <w:color w:val="000000"/>
                <w:sz w:val="20"/>
                <w:lang w:eastAsia="en-GB"/>
              </w:rPr>
            </w:pPr>
            <w:r w:rsidRPr="002F633F">
              <w:rPr>
                <w:rFonts w:ascii="Verdana" w:hAnsi="Verdana"/>
                <w:color w:val="000000"/>
                <w:sz w:val="20"/>
                <w:lang w:eastAsia="en-GB"/>
              </w:rPr>
              <w:t>Depreciation</w:t>
            </w:r>
          </w:p>
        </w:tc>
        <w:tc>
          <w:tcPr>
            <w:tcW w:w="1416" w:type="dxa"/>
            <w:tcBorders>
              <w:top w:val="nil"/>
              <w:left w:val="nil"/>
              <w:bottom w:val="nil"/>
              <w:right w:val="nil"/>
            </w:tcBorders>
            <w:shd w:val="clear" w:color="000000" w:fill="F2F2F2"/>
            <w:noWrap/>
            <w:vAlign w:val="center"/>
            <w:hideMark/>
          </w:tcPr>
          <w:p w:rsidRPr="00BC2CBF" w:rsidR="002F633F" w:rsidP="002F633F" w:rsidRDefault="002F633F">
            <w:pPr>
              <w:overflowPunct/>
              <w:autoSpaceDE/>
              <w:autoSpaceDN/>
              <w:adjustRightInd/>
              <w:jc w:val="right"/>
              <w:textAlignment w:val="auto"/>
              <w:rPr>
                <w:rFonts w:ascii="Verdana" w:hAnsi="Verdana"/>
                <w:color w:val="000000" w:themeColor="text1"/>
                <w:sz w:val="20"/>
                <w:lang w:eastAsia="en-GB"/>
              </w:rPr>
            </w:pPr>
            <w:r w:rsidRPr="00BC2CBF">
              <w:rPr>
                <w:rFonts w:ascii="Verdana" w:hAnsi="Verdana"/>
                <w:color w:val="000000" w:themeColor="text1"/>
                <w:sz w:val="20"/>
                <w:lang w:eastAsia="en-GB"/>
              </w:rPr>
              <w:t>39,620</w:t>
            </w:r>
          </w:p>
        </w:tc>
      </w:tr>
      <w:tr w:rsidRPr="002F633F" w:rsidR="002F633F" w:rsidTr="002F633F">
        <w:trPr>
          <w:trHeight w:val="315"/>
        </w:trPr>
        <w:tc>
          <w:tcPr>
            <w:tcW w:w="8222" w:type="dxa"/>
            <w:tcBorders>
              <w:top w:val="nil"/>
              <w:left w:val="nil"/>
              <w:bottom w:val="nil"/>
              <w:right w:val="nil"/>
            </w:tcBorders>
            <w:shd w:val="clear" w:color="000000" w:fill="F2F2F2"/>
            <w:noWrap/>
            <w:vAlign w:val="center"/>
            <w:hideMark/>
          </w:tcPr>
          <w:p w:rsidRPr="002F633F" w:rsidR="002F633F" w:rsidP="002F633F" w:rsidRDefault="002F633F">
            <w:pPr>
              <w:overflowPunct/>
              <w:autoSpaceDE/>
              <w:autoSpaceDN/>
              <w:adjustRightInd/>
              <w:jc w:val="left"/>
              <w:textAlignment w:val="auto"/>
              <w:rPr>
                <w:rFonts w:ascii="Verdana" w:hAnsi="Verdana"/>
                <w:color w:val="000000"/>
                <w:sz w:val="20"/>
                <w:lang w:eastAsia="en-GB"/>
              </w:rPr>
            </w:pPr>
            <w:r w:rsidRPr="002F633F">
              <w:rPr>
                <w:rFonts w:ascii="Verdana" w:hAnsi="Verdana"/>
                <w:color w:val="000000"/>
                <w:sz w:val="20"/>
                <w:lang w:eastAsia="en-GB"/>
              </w:rPr>
              <w:t>Disposals</w:t>
            </w:r>
          </w:p>
        </w:tc>
        <w:tc>
          <w:tcPr>
            <w:tcW w:w="1416" w:type="dxa"/>
            <w:tcBorders>
              <w:top w:val="nil"/>
              <w:left w:val="nil"/>
              <w:bottom w:val="nil"/>
              <w:right w:val="nil"/>
            </w:tcBorders>
            <w:shd w:val="clear" w:color="000000" w:fill="F2F2F2"/>
            <w:noWrap/>
            <w:vAlign w:val="center"/>
            <w:hideMark/>
          </w:tcPr>
          <w:p w:rsidRPr="00BC2CBF" w:rsidR="002F633F" w:rsidP="002F633F" w:rsidRDefault="00BC2CBF">
            <w:pPr>
              <w:overflowPunct/>
              <w:autoSpaceDE/>
              <w:autoSpaceDN/>
              <w:adjustRightInd/>
              <w:jc w:val="right"/>
              <w:textAlignment w:val="auto"/>
              <w:rPr>
                <w:rFonts w:ascii="Verdana" w:hAnsi="Verdana"/>
                <w:color w:val="000000" w:themeColor="text1"/>
                <w:sz w:val="20"/>
                <w:lang w:eastAsia="en-GB"/>
              </w:rPr>
            </w:pPr>
            <w:r>
              <w:rPr>
                <w:rFonts w:ascii="Verdana" w:hAnsi="Verdana"/>
                <w:color w:val="000000" w:themeColor="text1"/>
                <w:sz w:val="20"/>
                <w:lang w:eastAsia="en-GB"/>
              </w:rPr>
              <w:t>(</w:t>
            </w:r>
            <w:r w:rsidRPr="00BC2CBF" w:rsidR="002F633F">
              <w:rPr>
                <w:rFonts w:ascii="Verdana" w:hAnsi="Verdana"/>
                <w:color w:val="000000" w:themeColor="text1"/>
                <w:sz w:val="20"/>
                <w:lang w:eastAsia="en-GB"/>
              </w:rPr>
              <w:t>1,391</w:t>
            </w:r>
            <w:r>
              <w:rPr>
                <w:rFonts w:ascii="Verdana" w:hAnsi="Verdana"/>
                <w:color w:val="000000" w:themeColor="text1"/>
                <w:sz w:val="20"/>
                <w:lang w:eastAsia="en-GB"/>
              </w:rPr>
              <w:t>)</w:t>
            </w:r>
          </w:p>
        </w:tc>
      </w:tr>
      <w:tr w:rsidRPr="002F633F" w:rsidR="002F633F" w:rsidTr="002F633F">
        <w:trPr>
          <w:trHeight w:val="315"/>
        </w:trPr>
        <w:tc>
          <w:tcPr>
            <w:tcW w:w="8222" w:type="dxa"/>
            <w:tcBorders>
              <w:top w:val="nil"/>
              <w:left w:val="nil"/>
              <w:bottom w:val="nil"/>
              <w:right w:val="nil"/>
            </w:tcBorders>
            <w:shd w:val="clear" w:color="000000" w:fill="F2F2F2"/>
            <w:noWrap/>
            <w:vAlign w:val="center"/>
            <w:hideMark/>
          </w:tcPr>
          <w:p w:rsidRPr="002F633F" w:rsidR="002F633F" w:rsidP="002F633F" w:rsidRDefault="002F633F">
            <w:pPr>
              <w:overflowPunct/>
              <w:autoSpaceDE/>
              <w:autoSpaceDN/>
              <w:adjustRightInd/>
              <w:jc w:val="left"/>
              <w:textAlignment w:val="auto"/>
              <w:rPr>
                <w:rFonts w:ascii="Verdana" w:hAnsi="Verdana"/>
                <w:color w:val="000000"/>
                <w:sz w:val="20"/>
                <w:lang w:eastAsia="en-GB"/>
              </w:rPr>
            </w:pPr>
            <w:r w:rsidRPr="002F633F">
              <w:rPr>
                <w:rFonts w:ascii="Verdana" w:hAnsi="Verdana"/>
                <w:color w:val="000000"/>
                <w:sz w:val="20"/>
                <w:lang w:eastAsia="en-GB"/>
              </w:rPr>
              <w:t>Accumu</w:t>
            </w:r>
            <w:r w:rsidR="00BC2CBF">
              <w:rPr>
                <w:rFonts w:ascii="Verdana" w:hAnsi="Verdana"/>
                <w:color w:val="000000"/>
                <w:sz w:val="20"/>
                <w:lang w:eastAsia="en-GB"/>
              </w:rPr>
              <w:t>lated Depreciation 31 March 2018</w:t>
            </w:r>
          </w:p>
        </w:tc>
        <w:tc>
          <w:tcPr>
            <w:tcW w:w="1416" w:type="dxa"/>
            <w:tcBorders>
              <w:top w:val="single" w:color="auto" w:sz="8" w:space="0"/>
              <w:left w:val="nil"/>
              <w:bottom w:val="single" w:color="auto" w:sz="8" w:space="0"/>
              <w:right w:val="nil"/>
            </w:tcBorders>
            <w:shd w:val="clear" w:color="000000" w:fill="F2F2F2"/>
            <w:noWrap/>
            <w:vAlign w:val="center"/>
            <w:hideMark/>
          </w:tcPr>
          <w:p w:rsidRPr="002F633F" w:rsidR="002F633F" w:rsidP="002F633F" w:rsidRDefault="002F633F">
            <w:pPr>
              <w:overflowPunct/>
              <w:autoSpaceDE/>
              <w:autoSpaceDN/>
              <w:adjustRightInd/>
              <w:jc w:val="right"/>
              <w:textAlignment w:val="auto"/>
              <w:rPr>
                <w:rFonts w:ascii="Verdana" w:hAnsi="Verdana"/>
                <w:color w:val="000000"/>
                <w:sz w:val="20"/>
                <w:lang w:eastAsia="en-GB"/>
              </w:rPr>
            </w:pPr>
            <w:r w:rsidRPr="002F633F">
              <w:rPr>
                <w:rFonts w:ascii="Verdana" w:hAnsi="Verdana"/>
                <w:color w:val="000000"/>
                <w:sz w:val="20"/>
                <w:lang w:eastAsia="en-GB"/>
              </w:rPr>
              <w:t>615,984</w:t>
            </w:r>
          </w:p>
        </w:tc>
      </w:tr>
      <w:tr w:rsidRPr="002F633F" w:rsidR="002F633F" w:rsidTr="002F633F">
        <w:trPr>
          <w:trHeight w:val="300"/>
        </w:trPr>
        <w:tc>
          <w:tcPr>
            <w:tcW w:w="8222" w:type="dxa"/>
            <w:tcBorders>
              <w:top w:val="nil"/>
              <w:left w:val="nil"/>
              <w:bottom w:val="nil"/>
              <w:right w:val="nil"/>
            </w:tcBorders>
            <w:shd w:val="clear" w:color="000000" w:fill="F2F2F2"/>
            <w:noWrap/>
            <w:vAlign w:val="center"/>
            <w:hideMark/>
          </w:tcPr>
          <w:p w:rsidRPr="002F633F" w:rsidR="002F633F" w:rsidP="002F633F" w:rsidRDefault="002F633F">
            <w:pPr>
              <w:overflowPunct/>
              <w:autoSpaceDE/>
              <w:autoSpaceDN/>
              <w:adjustRightInd/>
              <w:jc w:val="left"/>
              <w:textAlignment w:val="auto"/>
              <w:rPr>
                <w:rFonts w:ascii="Verdana" w:hAnsi="Verdana"/>
                <w:color w:val="000000"/>
                <w:sz w:val="20"/>
                <w:lang w:eastAsia="en-GB"/>
              </w:rPr>
            </w:pPr>
            <w:r w:rsidRPr="002F633F">
              <w:rPr>
                <w:rFonts w:ascii="Verdana" w:hAnsi="Verdana"/>
                <w:color w:val="000000"/>
                <w:sz w:val="20"/>
                <w:lang w:eastAsia="en-GB"/>
              </w:rPr>
              <w:t> </w:t>
            </w:r>
          </w:p>
        </w:tc>
        <w:tc>
          <w:tcPr>
            <w:tcW w:w="1416" w:type="dxa"/>
            <w:tcBorders>
              <w:top w:val="nil"/>
              <w:left w:val="nil"/>
              <w:bottom w:val="nil"/>
              <w:right w:val="nil"/>
            </w:tcBorders>
            <w:shd w:val="clear" w:color="000000" w:fill="F2F2F2"/>
            <w:noWrap/>
            <w:vAlign w:val="center"/>
            <w:hideMark/>
          </w:tcPr>
          <w:p w:rsidRPr="002F633F" w:rsidR="002F633F" w:rsidP="002F633F" w:rsidRDefault="002F633F">
            <w:pPr>
              <w:overflowPunct/>
              <w:autoSpaceDE/>
              <w:autoSpaceDN/>
              <w:adjustRightInd/>
              <w:jc w:val="left"/>
              <w:textAlignment w:val="auto"/>
              <w:rPr>
                <w:rFonts w:ascii="Verdana" w:hAnsi="Verdana"/>
                <w:color w:val="000000"/>
                <w:sz w:val="20"/>
                <w:lang w:eastAsia="en-GB"/>
              </w:rPr>
            </w:pPr>
            <w:r w:rsidRPr="002F633F">
              <w:rPr>
                <w:rFonts w:ascii="Verdana" w:hAnsi="Verdana"/>
                <w:color w:val="000000"/>
                <w:sz w:val="20"/>
                <w:lang w:eastAsia="en-GB"/>
              </w:rPr>
              <w:t> </w:t>
            </w:r>
          </w:p>
        </w:tc>
      </w:tr>
      <w:tr w:rsidRPr="002F633F" w:rsidR="002F633F" w:rsidTr="002F633F">
        <w:trPr>
          <w:trHeight w:val="300"/>
        </w:trPr>
        <w:tc>
          <w:tcPr>
            <w:tcW w:w="8222" w:type="dxa"/>
            <w:tcBorders>
              <w:top w:val="nil"/>
              <w:left w:val="nil"/>
              <w:bottom w:val="nil"/>
              <w:right w:val="nil"/>
            </w:tcBorders>
            <w:shd w:val="clear" w:color="000000" w:fill="F2F2F2"/>
            <w:noWrap/>
            <w:vAlign w:val="center"/>
            <w:hideMark/>
          </w:tcPr>
          <w:p w:rsidRPr="002F633F" w:rsidR="002F633F" w:rsidP="002F633F" w:rsidRDefault="002F633F">
            <w:pPr>
              <w:overflowPunct/>
              <w:autoSpaceDE/>
              <w:autoSpaceDN/>
              <w:adjustRightInd/>
              <w:jc w:val="left"/>
              <w:textAlignment w:val="auto"/>
              <w:rPr>
                <w:rFonts w:ascii="Verdana" w:hAnsi="Verdana"/>
                <w:color w:val="000000"/>
                <w:sz w:val="20"/>
                <w:lang w:eastAsia="en-GB"/>
              </w:rPr>
            </w:pPr>
            <w:r w:rsidRPr="002F633F">
              <w:rPr>
                <w:rFonts w:ascii="Verdana" w:hAnsi="Verdana"/>
                <w:color w:val="000000"/>
                <w:sz w:val="20"/>
                <w:lang w:eastAsia="en-GB"/>
              </w:rPr>
              <w:t>Net Book Value 31 March 2017</w:t>
            </w:r>
          </w:p>
        </w:tc>
        <w:tc>
          <w:tcPr>
            <w:tcW w:w="1416" w:type="dxa"/>
            <w:tcBorders>
              <w:top w:val="nil"/>
              <w:left w:val="nil"/>
              <w:bottom w:val="nil"/>
              <w:right w:val="nil"/>
            </w:tcBorders>
            <w:shd w:val="clear" w:color="000000" w:fill="F2F2F2"/>
            <w:noWrap/>
            <w:vAlign w:val="center"/>
            <w:hideMark/>
          </w:tcPr>
          <w:p w:rsidRPr="002F633F" w:rsidR="002F633F" w:rsidP="002F633F" w:rsidRDefault="002F633F">
            <w:pPr>
              <w:overflowPunct/>
              <w:autoSpaceDE/>
              <w:autoSpaceDN/>
              <w:adjustRightInd/>
              <w:jc w:val="right"/>
              <w:textAlignment w:val="auto"/>
              <w:rPr>
                <w:rFonts w:ascii="Verdana" w:hAnsi="Verdana"/>
                <w:color w:val="000000"/>
                <w:sz w:val="20"/>
                <w:lang w:eastAsia="en-GB"/>
              </w:rPr>
            </w:pPr>
            <w:r w:rsidRPr="002F633F">
              <w:rPr>
                <w:rFonts w:ascii="Verdana" w:hAnsi="Verdana"/>
                <w:color w:val="000000"/>
                <w:sz w:val="20"/>
                <w:lang w:eastAsia="en-GB"/>
              </w:rPr>
              <w:t>68,004</w:t>
            </w:r>
          </w:p>
        </w:tc>
      </w:tr>
      <w:tr w:rsidRPr="002F633F" w:rsidR="002F633F" w:rsidTr="002F633F">
        <w:trPr>
          <w:trHeight w:val="300"/>
        </w:trPr>
        <w:tc>
          <w:tcPr>
            <w:tcW w:w="8222" w:type="dxa"/>
            <w:tcBorders>
              <w:top w:val="nil"/>
              <w:left w:val="nil"/>
              <w:bottom w:val="nil"/>
              <w:right w:val="nil"/>
            </w:tcBorders>
            <w:shd w:val="clear" w:color="000000" w:fill="F2F2F2"/>
            <w:noWrap/>
            <w:vAlign w:val="center"/>
            <w:hideMark/>
          </w:tcPr>
          <w:p w:rsidRPr="002F633F" w:rsidR="002F633F" w:rsidP="002F633F" w:rsidRDefault="002F633F">
            <w:pPr>
              <w:overflowPunct/>
              <w:autoSpaceDE/>
              <w:autoSpaceDN/>
              <w:adjustRightInd/>
              <w:jc w:val="left"/>
              <w:textAlignment w:val="auto"/>
              <w:rPr>
                <w:rFonts w:ascii="Verdana" w:hAnsi="Verdana"/>
                <w:color w:val="000000"/>
                <w:sz w:val="20"/>
                <w:lang w:eastAsia="en-GB"/>
              </w:rPr>
            </w:pPr>
            <w:r w:rsidRPr="002F633F">
              <w:rPr>
                <w:rFonts w:ascii="Verdana" w:hAnsi="Verdana"/>
                <w:color w:val="000000"/>
                <w:sz w:val="20"/>
                <w:lang w:eastAsia="en-GB"/>
              </w:rPr>
              <w:t>Net Book Value 31 March 2018</w:t>
            </w:r>
          </w:p>
        </w:tc>
        <w:tc>
          <w:tcPr>
            <w:tcW w:w="1416" w:type="dxa"/>
            <w:tcBorders>
              <w:top w:val="nil"/>
              <w:left w:val="nil"/>
              <w:bottom w:val="nil"/>
              <w:right w:val="nil"/>
            </w:tcBorders>
            <w:shd w:val="clear" w:color="000000" w:fill="F2F2F2"/>
            <w:noWrap/>
            <w:vAlign w:val="center"/>
            <w:hideMark/>
          </w:tcPr>
          <w:p w:rsidRPr="002F633F" w:rsidR="002F633F" w:rsidP="002F633F" w:rsidRDefault="002F633F">
            <w:pPr>
              <w:overflowPunct/>
              <w:autoSpaceDE/>
              <w:autoSpaceDN/>
              <w:adjustRightInd/>
              <w:jc w:val="right"/>
              <w:textAlignment w:val="auto"/>
              <w:rPr>
                <w:rFonts w:ascii="Verdana" w:hAnsi="Verdana"/>
                <w:color w:val="000000"/>
                <w:sz w:val="20"/>
                <w:lang w:eastAsia="en-GB"/>
              </w:rPr>
            </w:pPr>
            <w:r w:rsidRPr="002F633F">
              <w:rPr>
                <w:rFonts w:ascii="Verdana" w:hAnsi="Verdana"/>
                <w:color w:val="000000"/>
                <w:sz w:val="20"/>
                <w:lang w:eastAsia="en-GB"/>
              </w:rPr>
              <w:t>62,826</w:t>
            </w:r>
          </w:p>
        </w:tc>
      </w:tr>
    </w:tbl>
    <w:p w:rsidRPr="006656B3" w:rsidR="00FE2F1E" w:rsidP="00551055" w:rsidRDefault="00FE2F1E">
      <w:pPr>
        <w:pStyle w:val="Heading1"/>
        <w:numPr>
          <w:ilvl w:val="0"/>
          <w:numId w:val="0"/>
        </w:numPr>
        <w:rPr>
          <w:rFonts w:ascii="Verdana" w:hAnsi="Verdana" w:cs="Arial"/>
        </w:rPr>
      </w:pPr>
    </w:p>
    <w:p w:rsidRPr="008D56D3" w:rsidR="00551055" w:rsidP="00551055" w:rsidRDefault="004C030C">
      <w:pPr>
        <w:pStyle w:val="Heading1"/>
        <w:numPr>
          <w:ilvl w:val="0"/>
          <w:numId w:val="0"/>
        </w:numPr>
        <w:rPr>
          <w:rFonts w:ascii="Verdana" w:hAnsi="Verdana" w:cs="Arial"/>
        </w:rPr>
      </w:pPr>
      <w:r w:rsidRPr="008D56D3">
        <w:rPr>
          <w:rFonts w:ascii="Verdana" w:hAnsi="Verdana" w:cs="Arial"/>
        </w:rPr>
        <w:t>9</w:t>
      </w:r>
      <w:r w:rsidRPr="008D56D3" w:rsidR="00E9305A">
        <w:rPr>
          <w:rFonts w:ascii="Verdana" w:hAnsi="Verdana" w:cs="Arial"/>
        </w:rPr>
        <w:t>. Debtors</w:t>
      </w:r>
      <w:bookmarkStart w:name="_11._Creditors:_amounts" w:id="91"/>
      <w:bookmarkEnd w:id="91"/>
      <w:r w:rsidRPr="008D56D3" w:rsidR="006A5FF6">
        <w:rPr>
          <w:rFonts w:ascii="Verdana" w:hAnsi="Verdana" w:cs="Arial"/>
        </w:rPr>
        <w:t xml:space="preserve"> &amp; Prepayments</w:t>
      </w:r>
    </w:p>
    <w:p w:rsidRPr="008D56D3" w:rsidR="00551055" w:rsidP="00551055" w:rsidRDefault="00551055"/>
    <w:tbl>
      <w:tblPr>
        <w:tblW w:w="9938" w:type="dxa"/>
        <w:tblInd w:w="93" w:type="dxa"/>
        <w:tblLook w:val="04A0" w:firstRow="1" w:lastRow="0" w:firstColumn="1" w:lastColumn="0" w:noHBand="0" w:noVBand="1"/>
      </w:tblPr>
      <w:tblGrid>
        <w:gridCol w:w="6678"/>
        <w:gridCol w:w="1502"/>
        <w:gridCol w:w="360"/>
        <w:gridCol w:w="1398"/>
      </w:tblGrid>
      <w:tr w:rsidRPr="008D56D3" w:rsidR="004149B0" w:rsidTr="004149B0">
        <w:trPr>
          <w:trHeight w:val="300"/>
        </w:trPr>
        <w:tc>
          <w:tcPr>
            <w:tcW w:w="6678" w:type="dxa"/>
            <w:tcBorders>
              <w:top w:val="nil"/>
              <w:left w:val="nil"/>
              <w:bottom w:val="nil"/>
              <w:right w:val="nil"/>
            </w:tcBorders>
            <w:shd w:val="clear" w:color="000000" w:fill="F2F2F2"/>
            <w:vAlign w:val="center"/>
            <w:hideMark/>
          </w:tcPr>
          <w:p w:rsidRPr="008D56D3" w:rsidR="004149B0" w:rsidP="00551055" w:rsidRDefault="004149B0">
            <w:pPr>
              <w:overflowPunct/>
              <w:autoSpaceDE/>
              <w:autoSpaceDN/>
              <w:adjustRightInd/>
              <w:jc w:val="left"/>
              <w:textAlignment w:val="auto"/>
              <w:rPr>
                <w:rFonts w:ascii="Verdana" w:hAnsi="Verdana" w:cs="Calibri"/>
                <w:color w:val="000000"/>
                <w:sz w:val="20"/>
                <w:lang w:eastAsia="en-GB"/>
              </w:rPr>
            </w:pPr>
            <w:r w:rsidRPr="008D56D3">
              <w:rPr>
                <w:rFonts w:ascii="Verdana" w:hAnsi="Verdana" w:cs="Calibri"/>
                <w:color w:val="000000"/>
                <w:sz w:val="20"/>
                <w:lang w:eastAsia="en-GB"/>
              </w:rPr>
              <w:t> </w:t>
            </w:r>
          </w:p>
        </w:tc>
        <w:tc>
          <w:tcPr>
            <w:tcW w:w="1502" w:type="dxa"/>
            <w:tcBorders>
              <w:top w:val="nil"/>
              <w:left w:val="nil"/>
              <w:bottom w:val="nil"/>
              <w:right w:val="nil"/>
            </w:tcBorders>
            <w:shd w:val="clear" w:color="000000" w:fill="F2F2F2"/>
            <w:noWrap/>
            <w:vAlign w:val="bottom"/>
            <w:hideMark/>
          </w:tcPr>
          <w:p w:rsidRPr="008D56D3" w:rsidR="004149B0" w:rsidP="00D33DF6" w:rsidRDefault="008D56D3">
            <w:pPr>
              <w:overflowPunct/>
              <w:autoSpaceDE/>
              <w:autoSpaceDN/>
              <w:adjustRightInd/>
              <w:jc w:val="right"/>
              <w:textAlignment w:val="auto"/>
              <w:rPr>
                <w:rFonts w:ascii="Verdana" w:hAnsi="Verdana" w:cs="Calibri"/>
                <w:b/>
                <w:bCs/>
                <w:color w:val="000000"/>
                <w:sz w:val="20"/>
                <w:lang w:eastAsia="en-GB"/>
              </w:rPr>
            </w:pPr>
            <w:r w:rsidRPr="008D56D3">
              <w:rPr>
                <w:rFonts w:ascii="Verdana" w:hAnsi="Verdana" w:cs="Calibri"/>
                <w:b/>
                <w:bCs/>
                <w:color w:val="000000"/>
                <w:sz w:val="20"/>
                <w:lang w:eastAsia="en-GB"/>
              </w:rPr>
              <w:t>201</w:t>
            </w:r>
            <w:r w:rsidR="00D33DF6">
              <w:rPr>
                <w:rFonts w:ascii="Verdana" w:hAnsi="Verdana" w:cs="Calibri"/>
                <w:b/>
                <w:bCs/>
                <w:color w:val="000000"/>
                <w:sz w:val="20"/>
                <w:lang w:eastAsia="en-GB"/>
              </w:rPr>
              <w:t>7</w:t>
            </w:r>
            <w:r w:rsidRPr="008D56D3" w:rsidR="004149B0">
              <w:rPr>
                <w:rFonts w:ascii="Verdana" w:hAnsi="Verdana" w:cs="Calibri"/>
                <w:b/>
                <w:bCs/>
                <w:color w:val="000000"/>
                <w:sz w:val="20"/>
                <w:lang w:eastAsia="en-GB"/>
              </w:rPr>
              <w:t>-1</w:t>
            </w:r>
            <w:r w:rsidR="00D33DF6">
              <w:rPr>
                <w:rFonts w:ascii="Verdana" w:hAnsi="Verdana" w:cs="Calibri"/>
                <w:b/>
                <w:bCs/>
                <w:color w:val="000000"/>
                <w:sz w:val="20"/>
                <w:lang w:eastAsia="en-GB"/>
              </w:rPr>
              <w:t>8</w:t>
            </w:r>
          </w:p>
        </w:tc>
        <w:tc>
          <w:tcPr>
            <w:tcW w:w="360" w:type="dxa"/>
            <w:tcBorders>
              <w:top w:val="nil"/>
              <w:left w:val="nil"/>
              <w:bottom w:val="nil"/>
              <w:right w:val="nil"/>
            </w:tcBorders>
            <w:shd w:val="clear" w:color="000000" w:fill="F2F2F2"/>
            <w:noWrap/>
            <w:vAlign w:val="bottom"/>
            <w:hideMark/>
          </w:tcPr>
          <w:p w:rsidRPr="008D56D3" w:rsidR="004149B0" w:rsidP="00551055" w:rsidRDefault="004149B0">
            <w:pPr>
              <w:overflowPunct/>
              <w:autoSpaceDE/>
              <w:autoSpaceDN/>
              <w:adjustRightInd/>
              <w:jc w:val="left"/>
              <w:textAlignment w:val="auto"/>
              <w:rPr>
                <w:rFonts w:ascii="Verdana" w:hAnsi="Verdana" w:cs="Calibri"/>
                <w:color w:val="000000"/>
                <w:sz w:val="20"/>
                <w:lang w:eastAsia="en-GB"/>
              </w:rPr>
            </w:pPr>
            <w:r w:rsidRPr="008D56D3">
              <w:rPr>
                <w:rFonts w:ascii="Verdana" w:hAnsi="Verdana" w:cs="Calibri"/>
                <w:color w:val="000000"/>
                <w:sz w:val="20"/>
                <w:lang w:eastAsia="en-GB"/>
              </w:rPr>
              <w:t> </w:t>
            </w:r>
          </w:p>
        </w:tc>
        <w:tc>
          <w:tcPr>
            <w:tcW w:w="1398" w:type="dxa"/>
            <w:tcBorders>
              <w:top w:val="nil"/>
              <w:left w:val="nil"/>
              <w:bottom w:val="nil"/>
              <w:right w:val="nil"/>
            </w:tcBorders>
            <w:shd w:val="clear" w:color="000000" w:fill="F2F2F2"/>
            <w:vAlign w:val="bottom"/>
          </w:tcPr>
          <w:p w:rsidRPr="008D56D3" w:rsidR="004149B0" w:rsidP="00D33DF6" w:rsidRDefault="008D56D3">
            <w:pPr>
              <w:overflowPunct/>
              <w:autoSpaceDE/>
              <w:autoSpaceDN/>
              <w:adjustRightInd/>
              <w:jc w:val="right"/>
              <w:textAlignment w:val="auto"/>
              <w:rPr>
                <w:rFonts w:ascii="Verdana" w:hAnsi="Verdana" w:cs="Calibri"/>
                <w:b/>
                <w:bCs/>
                <w:color w:val="000000"/>
                <w:sz w:val="20"/>
                <w:lang w:eastAsia="en-GB"/>
              </w:rPr>
            </w:pPr>
            <w:r w:rsidRPr="008D56D3">
              <w:rPr>
                <w:rFonts w:ascii="Verdana" w:hAnsi="Verdana" w:cs="Calibri"/>
                <w:b/>
                <w:bCs/>
                <w:color w:val="000000"/>
                <w:sz w:val="20"/>
                <w:lang w:eastAsia="en-GB"/>
              </w:rPr>
              <w:t>201</w:t>
            </w:r>
            <w:r w:rsidR="00D33DF6">
              <w:rPr>
                <w:rFonts w:ascii="Verdana" w:hAnsi="Verdana" w:cs="Calibri"/>
                <w:b/>
                <w:bCs/>
                <w:color w:val="000000"/>
                <w:sz w:val="20"/>
                <w:lang w:eastAsia="en-GB"/>
              </w:rPr>
              <w:t>6</w:t>
            </w:r>
            <w:r w:rsidRPr="008D56D3" w:rsidR="004149B0">
              <w:rPr>
                <w:rFonts w:ascii="Verdana" w:hAnsi="Verdana" w:cs="Calibri"/>
                <w:b/>
                <w:bCs/>
                <w:color w:val="000000"/>
                <w:sz w:val="20"/>
                <w:lang w:eastAsia="en-GB"/>
              </w:rPr>
              <w:t>-1</w:t>
            </w:r>
            <w:r w:rsidR="00D33DF6">
              <w:rPr>
                <w:rFonts w:ascii="Verdana" w:hAnsi="Verdana" w:cs="Calibri"/>
                <w:b/>
                <w:bCs/>
                <w:color w:val="000000"/>
                <w:sz w:val="20"/>
                <w:lang w:eastAsia="en-GB"/>
              </w:rPr>
              <w:t>7</w:t>
            </w:r>
          </w:p>
        </w:tc>
      </w:tr>
      <w:tr w:rsidRPr="008D56D3" w:rsidR="004149B0" w:rsidTr="004149B0">
        <w:trPr>
          <w:trHeight w:val="300"/>
        </w:trPr>
        <w:tc>
          <w:tcPr>
            <w:tcW w:w="6678" w:type="dxa"/>
            <w:tcBorders>
              <w:top w:val="nil"/>
              <w:left w:val="nil"/>
              <w:bottom w:val="nil"/>
              <w:right w:val="nil"/>
            </w:tcBorders>
            <w:shd w:val="clear" w:color="000000" w:fill="F2F2F2"/>
            <w:vAlign w:val="center"/>
            <w:hideMark/>
          </w:tcPr>
          <w:p w:rsidRPr="008D56D3" w:rsidR="004149B0" w:rsidP="00551055" w:rsidRDefault="004149B0">
            <w:pPr>
              <w:overflowPunct/>
              <w:autoSpaceDE/>
              <w:autoSpaceDN/>
              <w:adjustRightInd/>
              <w:jc w:val="left"/>
              <w:textAlignment w:val="auto"/>
              <w:rPr>
                <w:rFonts w:ascii="Verdana" w:hAnsi="Verdana" w:cs="Calibri"/>
                <w:color w:val="000000"/>
                <w:sz w:val="20"/>
                <w:lang w:eastAsia="en-GB"/>
              </w:rPr>
            </w:pPr>
            <w:r w:rsidRPr="008D56D3">
              <w:rPr>
                <w:rFonts w:ascii="Verdana" w:hAnsi="Verdana" w:cs="Calibri"/>
                <w:color w:val="000000"/>
                <w:sz w:val="20"/>
                <w:lang w:eastAsia="en-GB"/>
              </w:rPr>
              <w:t> </w:t>
            </w:r>
          </w:p>
        </w:tc>
        <w:tc>
          <w:tcPr>
            <w:tcW w:w="1502" w:type="dxa"/>
            <w:tcBorders>
              <w:top w:val="nil"/>
              <w:left w:val="nil"/>
              <w:bottom w:val="nil"/>
              <w:right w:val="nil"/>
            </w:tcBorders>
            <w:shd w:val="clear" w:color="000000" w:fill="F2F2F2"/>
            <w:noWrap/>
            <w:vAlign w:val="bottom"/>
            <w:hideMark/>
          </w:tcPr>
          <w:p w:rsidRPr="008D56D3" w:rsidR="004149B0" w:rsidP="00551055" w:rsidRDefault="004149B0">
            <w:pPr>
              <w:overflowPunct/>
              <w:autoSpaceDE/>
              <w:autoSpaceDN/>
              <w:adjustRightInd/>
              <w:jc w:val="right"/>
              <w:textAlignment w:val="auto"/>
              <w:rPr>
                <w:rFonts w:ascii="Verdana" w:hAnsi="Verdana" w:cs="Calibri"/>
                <w:b/>
                <w:bCs/>
                <w:color w:val="000000"/>
                <w:sz w:val="20"/>
                <w:lang w:eastAsia="en-GB"/>
              </w:rPr>
            </w:pPr>
            <w:r w:rsidRPr="008D56D3">
              <w:rPr>
                <w:rFonts w:ascii="Verdana" w:hAnsi="Verdana" w:cs="Calibri"/>
                <w:b/>
                <w:bCs/>
                <w:color w:val="000000"/>
                <w:sz w:val="20"/>
                <w:lang w:eastAsia="en-GB"/>
              </w:rPr>
              <w:t>£</w:t>
            </w:r>
          </w:p>
        </w:tc>
        <w:tc>
          <w:tcPr>
            <w:tcW w:w="360" w:type="dxa"/>
            <w:tcBorders>
              <w:top w:val="nil"/>
              <w:left w:val="nil"/>
              <w:bottom w:val="nil"/>
              <w:right w:val="nil"/>
            </w:tcBorders>
            <w:shd w:val="clear" w:color="000000" w:fill="F2F2F2"/>
            <w:noWrap/>
            <w:vAlign w:val="bottom"/>
            <w:hideMark/>
          </w:tcPr>
          <w:p w:rsidRPr="008D56D3" w:rsidR="004149B0" w:rsidP="00551055" w:rsidRDefault="004149B0">
            <w:pPr>
              <w:overflowPunct/>
              <w:autoSpaceDE/>
              <w:autoSpaceDN/>
              <w:adjustRightInd/>
              <w:jc w:val="left"/>
              <w:textAlignment w:val="auto"/>
              <w:rPr>
                <w:rFonts w:ascii="Verdana" w:hAnsi="Verdana" w:cs="Calibri"/>
                <w:color w:val="000000"/>
                <w:sz w:val="20"/>
                <w:lang w:eastAsia="en-GB"/>
              </w:rPr>
            </w:pPr>
            <w:r w:rsidRPr="008D56D3">
              <w:rPr>
                <w:rFonts w:ascii="Verdana" w:hAnsi="Verdana" w:cs="Calibri"/>
                <w:color w:val="000000"/>
                <w:sz w:val="20"/>
                <w:lang w:eastAsia="en-GB"/>
              </w:rPr>
              <w:t> </w:t>
            </w:r>
          </w:p>
        </w:tc>
        <w:tc>
          <w:tcPr>
            <w:tcW w:w="1398" w:type="dxa"/>
            <w:tcBorders>
              <w:top w:val="nil"/>
              <w:left w:val="nil"/>
              <w:bottom w:val="nil"/>
              <w:right w:val="nil"/>
            </w:tcBorders>
            <w:shd w:val="clear" w:color="000000" w:fill="F2F2F2"/>
            <w:vAlign w:val="bottom"/>
          </w:tcPr>
          <w:p w:rsidRPr="008D56D3" w:rsidR="004149B0" w:rsidP="00AF5C73" w:rsidRDefault="004149B0">
            <w:pPr>
              <w:overflowPunct/>
              <w:autoSpaceDE/>
              <w:autoSpaceDN/>
              <w:adjustRightInd/>
              <w:jc w:val="right"/>
              <w:textAlignment w:val="auto"/>
              <w:rPr>
                <w:rFonts w:ascii="Verdana" w:hAnsi="Verdana" w:cs="Calibri"/>
                <w:b/>
                <w:bCs/>
                <w:color w:val="000000"/>
                <w:sz w:val="20"/>
                <w:lang w:eastAsia="en-GB"/>
              </w:rPr>
            </w:pPr>
            <w:r w:rsidRPr="008D56D3">
              <w:rPr>
                <w:rFonts w:ascii="Verdana" w:hAnsi="Verdana" w:cs="Calibri"/>
                <w:b/>
                <w:bCs/>
                <w:color w:val="000000"/>
                <w:sz w:val="20"/>
                <w:lang w:eastAsia="en-GB"/>
              </w:rPr>
              <w:t>£</w:t>
            </w:r>
          </w:p>
        </w:tc>
      </w:tr>
      <w:tr w:rsidRPr="008D56D3" w:rsidR="004149B0" w:rsidTr="004149B0">
        <w:trPr>
          <w:trHeight w:val="300"/>
        </w:trPr>
        <w:tc>
          <w:tcPr>
            <w:tcW w:w="6678" w:type="dxa"/>
            <w:tcBorders>
              <w:top w:val="nil"/>
              <w:left w:val="nil"/>
              <w:bottom w:val="nil"/>
              <w:right w:val="nil"/>
            </w:tcBorders>
            <w:shd w:val="clear" w:color="000000" w:fill="F2F2F2"/>
            <w:vAlign w:val="center"/>
            <w:hideMark/>
          </w:tcPr>
          <w:p w:rsidRPr="008D56D3" w:rsidR="004149B0" w:rsidP="00551055" w:rsidRDefault="004149B0">
            <w:pPr>
              <w:overflowPunct/>
              <w:autoSpaceDE/>
              <w:autoSpaceDN/>
              <w:adjustRightInd/>
              <w:jc w:val="left"/>
              <w:textAlignment w:val="auto"/>
              <w:rPr>
                <w:rFonts w:ascii="Verdana" w:hAnsi="Verdana" w:cs="Calibri"/>
                <w:color w:val="000000"/>
                <w:sz w:val="20"/>
                <w:lang w:eastAsia="en-GB"/>
              </w:rPr>
            </w:pPr>
            <w:r w:rsidRPr="008D56D3">
              <w:rPr>
                <w:rFonts w:ascii="Verdana" w:hAnsi="Verdana" w:cs="Calibri"/>
                <w:color w:val="000000"/>
                <w:sz w:val="20"/>
                <w:lang w:eastAsia="en-GB"/>
              </w:rPr>
              <w:t> </w:t>
            </w:r>
          </w:p>
        </w:tc>
        <w:tc>
          <w:tcPr>
            <w:tcW w:w="1502" w:type="dxa"/>
            <w:tcBorders>
              <w:top w:val="nil"/>
              <w:left w:val="nil"/>
              <w:bottom w:val="nil"/>
              <w:right w:val="nil"/>
            </w:tcBorders>
            <w:shd w:val="clear" w:color="000000" w:fill="F2F2F2"/>
            <w:noWrap/>
            <w:vAlign w:val="bottom"/>
            <w:hideMark/>
          </w:tcPr>
          <w:p w:rsidRPr="008D56D3" w:rsidR="004149B0" w:rsidP="00551055" w:rsidRDefault="004149B0">
            <w:pPr>
              <w:overflowPunct/>
              <w:autoSpaceDE/>
              <w:autoSpaceDN/>
              <w:adjustRightInd/>
              <w:jc w:val="left"/>
              <w:textAlignment w:val="auto"/>
              <w:rPr>
                <w:rFonts w:ascii="Verdana" w:hAnsi="Verdana" w:cs="Calibri"/>
                <w:color w:val="000000"/>
                <w:sz w:val="20"/>
                <w:lang w:eastAsia="en-GB"/>
              </w:rPr>
            </w:pPr>
            <w:r w:rsidRPr="008D56D3">
              <w:rPr>
                <w:rFonts w:ascii="Verdana" w:hAnsi="Verdana" w:cs="Calibri"/>
                <w:color w:val="000000"/>
                <w:sz w:val="20"/>
                <w:lang w:eastAsia="en-GB"/>
              </w:rPr>
              <w:t> </w:t>
            </w:r>
          </w:p>
        </w:tc>
        <w:tc>
          <w:tcPr>
            <w:tcW w:w="360" w:type="dxa"/>
            <w:tcBorders>
              <w:top w:val="nil"/>
              <w:left w:val="nil"/>
              <w:bottom w:val="nil"/>
              <w:right w:val="nil"/>
            </w:tcBorders>
            <w:shd w:val="clear" w:color="000000" w:fill="F2F2F2"/>
            <w:noWrap/>
            <w:vAlign w:val="bottom"/>
            <w:hideMark/>
          </w:tcPr>
          <w:p w:rsidRPr="008D56D3" w:rsidR="004149B0" w:rsidP="00551055" w:rsidRDefault="004149B0">
            <w:pPr>
              <w:overflowPunct/>
              <w:autoSpaceDE/>
              <w:autoSpaceDN/>
              <w:adjustRightInd/>
              <w:jc w:val="left"/>
              <w:textAlignment w:val="auto"/>
              <w:rPr>
                <w:rFonts w:ascii="Verdana" w:hAnsi="Verdana" w:cs="Calibri"/>
                <w:color w:val="000000"/>
                <w:sz w:val="20"/>
                <w:lang w:eastAsia="en-GB"/>
              </w:rPr>
            </w:pPr>
            <w:r w:rsidRPr="008D56D3">
              <w:rPr>
                <w:rFonts w:ascii="Verdana" w:hAnsi="Verdana" w:cs="Calibri"/>
                <w:color w:val="000000"/>
                <w:sz w:val="20"/>
                <w:lang w:eastAsia="en-GB"/>
              </w:rPr>
              <w:t> </w:t>
            </w:r>
          </w:p>
        </w:tc>
        <w:tc>
          <w:tcPr>
            <w:tcW w:w="1398" w:type="dxa"/>
            <w:tcBorders>
              <w:top w:val="nil"/>
              <w:left w:val="nil"/>
              <w:bottom w:val="nil"/>
              <w:right w:val="nil"/>
            </w:tcBorders>
            <w:shd w:val="clear" w:color="000000" w:fill="F2F2F2"/>
            <w:vAlign w:val="bottom"/>
          </w:tcPr>
          <w:p w:rsidRPr="008D56D3" w:rsidR="004149B0" w:rsidP="00AF5C73" w:rsidRDefault="004149B0">
            <w:pPr>
              <w:overflowPunct/>
              <w:autoSpaceDE/>
              <w:autoSpaceDN/>
              <w:adjustRightInd/>
              <w:jc w:val="left"/>
              <w:textAlignment w:val="auto"/>
              <w:rPr>
                <w:rFonts w:ascii="Verdana" w:hAnsi="Verdana" w:cs="Calibri"/>
                <w:color w:val="000000"/>
                <w:sz w:val="20"/>
                <w:lang w:eastAsia="en-GB"/>
              </w:rPr>
            </w:pPr>
            <w:r w:rsidRPr="008D56D3">
              <w:rPr>
                <w:rFonts w:ascii="Verdana" w:hAnsi="Verdana" w:cs="Calibri"/>
                <w:color w:val="000000"/>
                <w:sz w:val="20"/>
                <w:lang w:eastAsia="en-GB"/>
              </w:rPr>
              <w:t> </w:t>
            </w:r>
          </w:p>
        </w:tc>
      </w:tr>
      <w:tr w:rsidRPr="008D56D3" w:rsidR="004F2249" w:rsidTr="004149B0">
        <w:trPr>
          <w:trHeight w:val="300"/>
        </w:trPr>
        <w:tc>
          <w:tcPr>
            <w:tcW w:w="6678" w:type="dxa"/>
            <w:tcBorders>
              <w:top w:val="nil"/>
              <w:left w:val="nil"/>
              <w:bottom w:val="nil"/>
              <w:right w:val="nil"/>
            </w:tcBorders>
            <w:shd w:val="clear" w:color="000000" w:fill="F2F2F2"/>
            <w:vAlign w:val="center"/>
            <w:hideMark/>
          </w:tcPr>
          <w:p w:rsidRPr="008D56D3" w:rsidR="004F2249" w:rsidP="00551055" w:rsidRDefault="004F2249">
            <w:pPr>
              <w:overflowPunct/>
              <w:autoSpaceDE/>
              <w:autoSpaceDN/>
              <w:adjustRightInd/>
              <w:jc w:val="left"/>
              <w:textAlignment w:val="auto"/>
              <w:rPr>
                <w:rFonts w:ascii="Verdana" w:hAnsi="Verdana" w:cs="Calibri"/>
                <w:color w:val="000000"/>
                <w:sz w:val="20"/>
                <w:lang w:eastAsia="en-GB"/>
              </w:rPr>
            </w:pPr>
            <w:r w:rsidRPr="008D56D3">
              <w:rPr>
                <w:rFonts w:ascii="Verdana" w:hAnsi="Verdana" w:cs="Calibri"/>
                <w:color w:val="000000"/>
                <w:sz w:val="20"/>
                <w:lang w:eastAsia="en-GB"/>
              </w:rPr>
              <w:t>Staff Loans</w:t>
            </w:r>
          </w:p>
        </w:tc>
        <w:tc>
          <w:tcPr>
            <w:tcW w:w="1502" w:type="dxa"/>
            <w:tcBorders>
              <w:top w:val="nil"/>
              <w:left w:val="nil"/>
              <w:bottom w:val="nil"/>
              <w:right w:val="nil"/>
            </w:tcBorders>
            <w:shd w:val="clear" w:color="000000" w:fill="F2F2F2"/>
            <w:noWrap/>
            <w:vAlign w:val="bottom"/>
          </w:tcPr>
          <w:p w:rsidRPr="008D56D3" w:rsidR="004F2249" w:rsidP="004F2249" w:rsidRDefault="004F2249">
            <w:pPr>
              <w:overflowPunct/>
              <w:autoSpaceDE/>
              <w:autoSpaceDN/>
              <w:adjustRightInd/>
              <w:jc w:val="right"/>
              <w:textAlignment w:val="auto"/>
              <w:rPr>
                <w:rFonts w:ascii="Verdana" w:hAnsi="Verdana" w:cs="Calibri"/>
                <w:color w:val="000000"/>
                <w:sz w:val="20"/>
                <w:lang w:eastAsia="en-GB"/>
              </w:rPr>
            </w:pPr>
            <w:r>
              <w:rPr>
                <w:rFonts w:ascii="Verdana" w:hAnsi="Verdana" w:cs="Calibri"/>
                <w:color w:val="000000"/>
                <w:sz w:val="20"/>
                <w:lang w:eastAsia="en-GB"/>
              </w:rPr>
              <w:t>33</w:t>
            </w:r>
            <w:r w:rsidRPr="008D56D3">
              <w:rPr>
                <w:rFonts w:ascii="Verdana" w:hAnsi="Verdana" w:cs="Calibri"/>
                <w:color w:val="000000"/>
                <w:sz w:val="20"/>
                <w:lang w:eastAsia="en-GB"/>
              </w:rPr>
              <w:t>,</w:t>
            </w:r>
            <w:r>
              <w:rPr>
                <w:rFonts w:ascii="Verdana" w:hAnsi="Verdana" w:cs="Calibri"/>
                <w:color w:val="000000"/>
                <w:sz w:val="20"/>
                <w:lang w:eastAsia="en-GB"/>
              </w:rPr>
              <w:t>243</w:t>
            </w:r>
          </w:p>
        </w:tc>
        <w:tc>
          <w:tcPr>
            <w:tcW w:w="360" w:type="dxa"/>
            <w:tcBorders>
              <w:top w:val="nil"/>
              <w:left w:val="nil"/>
              <w:bottom w:val="nil"/>
              <w:right w:val="nil"/>
            </w:tcBorders>
            <w:shd w:val="clear" w:color="000000" w:fill="F2F2F2"/>
            <w:noWrap/>
            <w:vAlign w:val="bottom"/>
            <w:hideMark/>
          </w:tcPr>
          <w:p w:rsidRPr="008D56D3" w:rsidR="004F2249" w:rsidP="00551055" w:rsidRDefault="004F2249">
            <w:pPr>
              <w:overflowPunct/>
              <w:autoSpaceDE/>
              <w:autoSpaceDN/>
              <w:adjustRightInd/>
              <w:jc w:val="left"/>
              <w:textAlignment w:val="auto"/>
              <w:rPr>
                <w:rFonts w:ascii="Verdana" w:hAnsi="Verdana" w:cs="Calibri"/>
                <w:color w:val="000000"/>
                <w:sz w:val="20"/>
                <w:lang w:eastAsia="en-GB"/>
              </w:rPr>
            </w:pPr>
            <w:r w:rsidRPr="008D56D3">
              <w:rPr>
                <w:rFonts w:ascii="Verdana" w:hAnsi="Verdana" w:cs="Calibri"/>
                <w:color w:val="000000"/>
                <w:sz w:val="20"/>
                <w:lang w:eastAsia="en-GB"/>
              </w:rPr>
              <w:t> </w:t>
            </w:r>
          </w:p>
        </w:tc>
        <w:tc>
          <w:tcPr>
            <w:tcW w:w="1398" w:type="dxa"/>
            <w:tcBorders>
              <w:top w:val="nil"/>
              <w:left w:val="nil"/>
              <w:bottom w:val="nil"/>
              <w:right w:val="nil"/>
            </w:tcBorders>
            <w:shd w:val="clear" w:color="000000" w:fill="F2F2F2"/>
            <w:vAlign w:val="bottom"/>
          </w:tcPr>
          <w:p w:rsidRPr="008D56D3" w:rsidR="004F2249" w:rsidP="003B0A24" w:rsidRDefault="004F2249">
            <w:pPr>
              <w:overflowPunct/>
              <w:autoSpaceDE/>
              <w:autoSpaceDN/>
              <w:adjustRightInd/>
              <w:jc w:val="right"/>
              <w:textAlignment w:val="auto"/>
              <w:rPr>
                <w:rFonts w:ascii="Verdana" w:hAnsi="Verdana" w:cs="Calibri"/>
                <w:color w:val="000000"/>
                <w:sz w:val="20"/>
                <w:lang w:eastAsia="en-GB"/>
              </w:rPr>
            </w:pPr>
            <w:r w:rsidRPr="008D56D3">
              <w:rPr>
                <w:rFonts w:ascii="Verdana" w:hAnsi="Verdana" w:cs="Calibri"/>
                <w:color w:val="000000"/>
                <w:sz w:val="20"/>
                <w:lang w:eastAsia="en-GB"/>
              </w:rPr>
              <w:t>45,998</w:t>
            </w:r>
          </w:p>
        </w:tc>
      </w:tr>
      <w:tr w:rsidRPr="008D56D3" w:rsidR="004F2249" w:rsidTr="004149B0">
        <w:trPr>
          <w:trHeight w:val="300"/>
        </w:trPr>
        <w:tc>
          <w:tcPr>
            <w:tcW w:w="6678" w:type="dxa"/>
            <w:tcBorders>
              <w:top w:val="nil"/>
              <w:left w:val="nil"/>
              <w:bottom w:val="nil"/>
              <w:right w:val="nil"/>
            </w:tcBorders>
            <w:shd w:val="clear" w:color="000000" w:fill="F2F2F2"/>
            <w:vAlign w:val="center"/>
            <w:hideMark/>
          </w:tcPr>
          <w:p w:rsidRPr="008D56D3" w:rsidR="004F2249" w:rsidP="00551055" w:rsidRDefault="004F2249">
            <w:pPr>
              <w:overflowPunct/>
              <w:autoSpaceDE/>
              <w:autoSpaceDN/>
              <w:adjustRightInd/>
              <w:jc w:val="left"/>
              <w:textAlignment w:val="auto"/>
              <w:rPr>
                <w:rFonts w:ascii="Verdana" w:hAnsi="Verdana" w:cs="Calibri"/>
                <w:color w:val="000000"/>
                <w:sz w:val="20"/>
                <w:lang w:eastAsia="en-GB"/>
              </w:rPr>
            </w:pPr>
            <w:r w:rsidRPr="008D56D3">
              <w:rPr>
                <w:rFonts w:ascii="Verdana" w:hAnsi="Verdana" w:cs="Calibri"/>
                <w:color w:val="000000"/>
                <w:sz w:val="20"/>
                <w:lang w:eastAsia="en-GB"/>
              </w:rPr>
              <w:t>Third Party Debtors</w:t>
            </w:r>
          </w:p>
        </w:tc>
        <w:tc>
          <w:tcPr>
            <w:tcW w:w="1502" w:type="dxa"/>
            <w:tcBorders>
              <w:top w:val="nil"/>
              <w:left w:val="nil"/>
              <w:bottom w:val="nil"/>
              <w:right w:val="nil"/>
            </w:tcBorders>
            <w:shd w:val="clear" w:color="000000" w:fill="F2F2F2"/>
            <w:noWrap/>
            <w:vAlign w:val="bottom"/>
          </w:tcPr>
          <w:p w:rsidRPr="008D56D3" w:rsidR="004F2249" w:rsidP="004F2249" w:rsidRDefault="004F2249">
            <w:pPr>
              <w:overflowPunct/>
              <w:autoSpaceDE/>
              <w:autoSpaceDN/>
              <w:adjustRightInd/>
              <w:jc w:val="right"/>
              <w:textAlignment w:val="auto"/>
              <w:rPr>
                <w:rFonts w:ascii="Verdana" w:hAnsi="Verdana" w:cs="Calibri"/>
                <w:color w:val="000000"/>
                <w:sz w:val="20"/>
                <w:lang w:eastAsia="en-GB"/>
              </w:rPr>
            </w:pPr>
            <w:r>
              <w:rPr>
                <w:rFonts w:ascii="Verdana" w:hAnsi="Verdana" w:cs="Calibri"/>
                <w:color w:val="000000"/>
                <w:sz w:val="20"/>
                <w:lang w:eastAsia="en-GB"/>
              </w:rPr>
              <w:t>2,269</w:t>
            </w:r>
          </w:p>
        </w:tc>
        <w:tc>
          <w:tcPr>
            <w:tcW w:w="360" w:type="dxa"/>
            <w:tcBorders>
              <w:top w:val="nil"/>
              <w:left w:val="nil"/>
              <w:bottom w:val="nil"/>
              <w:right w:val="nil"/>
            </w:tcBorders>
            <w:shd w:val="clear" w:color="000000" w:fill="F2F2F2"/>
            <w:noWrap/>
            <w:vAlign w:val="bottom"/>
            <w:hideMark/>
          </w:tcPr>
          <w:p w:rsidRPr="008D56D3" w:rsidR="004F2249" w:rsidP="00551055" w:rsidRDefault="004F2249">
            <w:pPr>
              <w:overflowPunct/>
              <w:autoSpaceDE/>
              <w:autoSpaceDN/>
              <w:adjustRightInd/>
              <w:jc w:val="left"/>
              <w:textAlignment w:val="auto"/>
              <w:rPr>
                <w:rFonts w:ascii="Verdana" w:hAnsi="Verdana" w:cs="Calibri"/>
                <w:color w:val="000000"/>
                <w:sz w:val="20"/>
                <w:lang w:eastAsia="en-GB"/>
              </w:rPr>
            </w:pPr>
            <w:r w:rsidRPr="008D56D3">
              <w:rPr>
                <w:rFonts w:ascii="Verdana" w:hAnsi="Verdana" w:cs="Calibri"/>
                <w:color w:val="000000"/>
                <w:sz w:val="20"/>
                <w:lang w:eastAsia="en-GB"/>
              </w:rPr>
              <w:t> </w:t>
            </w:r>
          </w:p>
        </w:tc>
        <w:tc>
          <w:tcPr>
            <w:tcW w:w="1398" w:type="dxa"/>
            <w:tcBorders>
              <w:top w:val="nil"/>
              <w:left w:val="nil"/>
              <w:bottom w:val="nil"/>
              <w:right w:val="nil"/>
            </w:tcBorders>
            <w:shd w:val="clear" w:color="000000" w:fill="F2F2F2"/>
            <w:vAlign w:val="bottom"/>
          </w:tcPr>
          <w:p w:rsidRPr="008D56D3" w:rsidR="004F2249" w:rsidP="003B0A24" w:rsidRDefault="004F2249">
            <w:pPr>
              <w:overflowPunct/>
              <w:autoSpaceDE/>
              <w:autoSpaceDN/>
              <w:adjustRightInd/>
              <w:jc w:val="right"/>
              <w:textAlignment w:val="auto"/>
              <w:rPr>
                <w:rFonts w:ascii="Verdana" w:hAnsi="Verdana" w:cs="Calibri"/>
                <w:color w:val="000000"/>
                <w:sz w:val="20"/>
                <w:lang w:eastAsia="en-GB"/>
              </w:rPr>
            </w:pPr>
            <w:r w:rsidRPr="008D56D3">
              <w:rPr>
                <w:rFonts w:ascii="Verdana" w:hAnsi="Verdana" w:cs="Calibri"/>
                <w:color w:val="000000"/>
                <w:sz w:val="20"/>
                <w:lang w:eastAsia="en-GB"/>
              </w:rPr>
              <w:t>2,493</w:t>
            </w:r>
          </w:p>
        </w:tc>
      </w:tr>
      <w:tr w:rsidRPr="008D56D3" w:rsidR="004F2249" w:rsidTr="004149B0">
        <w:trPr>
          <w:trHeight w:val="300"/>
        </w:trPr>
        <w:tc>
          <w:tcPr>
            <w:tcW w:w="6678" w:type="dxa"/>
            <w:tcBorders>
              <w:top w:val="nil"/>
              <w:left w:val="nil"/>
              <w:bottom w:val="nil"/>
              <w:right w:val="nil"/>
            </w:tcBorders>
            <w:shd w:val="clear" w:color="000000" w:fill="F2F2F2"/>
            <w:vAlign w:val="center"/>
            <w:hideMark/>
          </w:tcPr>
          <w:p w:rsidRPr="008D56D3" w:rsidR="004F2249" w:rsidP="00551055" w:rsidRDefault="004F2249">
            <w:pPr>
              <w:overflowPunct/>
              <w:autoSpaceDE/>
              <w:autoSpaceDN/>
              <w:adjustRightInd/>
              <w:jc w:val="left"/>
              <w:textAlignment w:val="auto"/>
              <w:rPr>
                <w:rFonts w:ascii="Verdana" w:hAnsi="Verdana" w:cs="Calibri"/>
                <w:color w:val="000000"/>
                <w:sz w:val="20"/>
                <w:lang w:eastAsia="en-GB"/>
              </w:rPr>
            </w:pPr>
            <w:r w:rsidRPr="008D56D3">
              <w:rPr>
                <w:rFonts w:ascii="Verdana" w:hAnsi="Verdana" w:cs="Calibri"/>
                <w:color w:val="000000"/>
                <w:sz w:val="20"/>
                <w:lang w:eastAsia="en-GB"/>
              </w:rPr>
              <w:t>Prepayments</w:t>
            </w:r>
          </w:p>
        </w:tc>
        <w:tc>
          <w:tcPr>
            <w:tcW w:w="1502" w:type="dxa"/>
            <w:tcBorders>
              <w:top w:val="nil"/>
              <w:left w:val="nil"/>
              <w:bottom w:val="nil"/>
              <w:right w:val="nil"/>
            </w:tcBorders>
            <w:shd w:val="clear" w:color="000000" w:fill="F2F2F2"/>
            <w:noWrap/>
            <w:vAlign w:val="bottom"/>
          </w:tcPr>
          <w:p w:rsidRPr="008D56D3" w:rsidR="004F2249" w:rsidP="004F2249" w:rsidRDefault="004F2249">
            <w:pPr>
              <w:overflowPunct/>
              <w:autoSpaceDE/>
              <w:autoSpaceDN/>
              <w:adjustRightInd/>
              <w:jc w:val="right"/>
              <w:textAlignment w:val="auto"/>
              <w:rPr>
                <w:rFonts w:ascii="Verdana" w:hAnsi="Verdana" w:cs="Calibri"/>
                <w:color w:val="000000"/>
                <w:sz w:val="20"/>
                <w:lang w:eastAsia="en-GB"/>
              </w:rPr>
            </w:pPr>
            <w:r>
              <w:rPr>
                <w:rFonts w:ascii="Verdana" w:hAnsi="Verdana" w:cs="Calibri"/>
                <w:color w:val="000000"/>
                <w:sz w:val="20"/>
                <w:lang w:eastAsia="en-GB"/>
              </w:rPr>
              <w:t>41</w:t>
            </w:r>
            <w:r w:rsidRPr="008D56D3">
              <w:rPr>
                <w:rFonts w:ascii="Verdana" w:hAnsi="Verdana" w:cs="Calibri"/>
                <w:color w:val="000000"/>
                <w:sz w:val="20"/>
                <w:lang w:eastAsia="en-GB"/>
              </w:rPr>
              <w:t>,</w:t>
            </w:r>
            <w:r>
              <w:rPr>
                <w:rFonts w:ascii="Verdana" w:hAnsi="Verdana" w:cs="Calibri"/>
                <w:color w:val="000000"/>
                <w:sz w:val="20"/>
                <w:lang w:eastAsia="en-GB"/>
              </w:rPr>
              <w:t>540</w:t>
            </w:r>
          </w:p>
        </w:tc>
        <w:tc>
          <w:tcPr>
            <w:tcW w:w="360" w:type="dxa"/>
            <w:tcBorders>
              <w:top w:val="nil"/>
              <w:left w:val="nil"/>
              <w:bottom w:val="nil"/>
              <w:right w:val="nil"/>
            </w:tcBorders>
            <w:shd w:val="clear" w:color="000000" w:fill="F2F2F2"/>
            <w:noWrap/>
            <w:vAlign w:val="bottom"/>
            <w:hideMark/>
          </w:tcPr>
          <w:p w:rsidRPr="008D56D3" w:rsidR="004F2249" w:rsidP="00551055" w:rsidRDefault="004F2249">
            <w:pPr>
              <w:overflowPunct/>
              <w:autoSpaceDE/>
              <w:autoSpaceDN/>
              <w:adjustRightInd/>
              <w:jc w:val="left"/>
              <w:textAlignment w:val="auto"/>
              <w:rPr>
                <w:rFonts w:ascii="Verdana" w:hAnsi="Verdana" w:cs="Calibri"/>
                <w:color w:val="000000"/>
                <w:sz w:val="20"/>
                <w:lang w:eastAsia="en-GB"/>
              </w:rPr>
            </w:pPr>
            <w:r w:rsidRPr="008D56D3">
              <w:rPr>
                <w:rFonts w:ascii="Verdana" w:hAnsi="Verdana" w:cs="Calibri"/>
                <w:color w:val="000000"/>
                <w:sz w:val="20"/>
                <w:lang w:eastAsia="en-GB"/>
              </w:rPr>
              <w:t> </w:t>
            </w:r>
          </w:p>
        </w:tc>
        <w:tc>
          <w:tcPr>
            <w:tcW w:w="1398" w:type="dxa"/>
            <w:tcBorders>
              <w:top w:val="nil"/>
              <w:left w:val="nil"/>
              <w:bottom w:val="nil"/>
              <w:right w:val="nil"/>
            </w:tcBorders>
            <w:shd w:val="clear" w:color="000000" w:fill="F2F2F2"/>
            <w:vAlign w:val="bottom"/>
          </w:tcPr>
          <w:p w:rsidRPr="008D56D3" w:rsidR="004F2249" w:rsidP="003B0A24" w:rsidRDefault="004F2249">
            <w:pPr>
              <w:overflowPunct/>
              <w:autoSpaceDE/>
              <w:autoSpaceDN/>
              <w:adjustRightInd/>
              <w:jc w:val="right"/>
              <w:textAlignment w:val="auto"/>
              <w:rPr>
                <w:rFonts w:ascii="Verdana" w:hAnsi="Verdana" w:cs="Calibri"/>
                <w:color w:val="000000"/>
                <w:sz w:val="20"/>
                <w:lang w:eastAsia="en-GB"/>
              </w:rPr>
            </w:pPr>
            <w:r w:rsidRPr="008D56D3">
              <w:rPr>
                <w:rFonts w:ascii="Verdana" w:hAnsi="Verdana" w:cs="Calibri"/>
                <w:color w:val="000000"/>
                <w:sz w:val="20"/>
                <w:lang w:eastAsia="en-GB"/>
              </w:rPr>
              <w:t>35,256</w:t>
            </w:r>
          </w:p>
        </w:tc>
      </w:tr>
      <w:tr w:rsidRPr="008B41ED" w:rsidR="004149B0" w:rsidTr="004149B0">
        <w:trPr>
          <w:trHeight w:val="315"/>
        </w:trPr>
        <w:tc>
          <w:tcPr>
            <w:tcW w:w="6678" w:type="dxa"/>
            <w:tcBorders>
              <w:top w:val="nil"/>
              <w:left w:val="nil"/>
              <w:bottom w:val="nil"/>
              <w:right w:val="nil"/>
            </w:tcBorders>
            <w:shd w:val="clear" w:color="000000" w:fill="F2F2F2"/>
            <w:vAlign w:val="center"/>
            <w:hideMark/>
          </w:tcPr>
          <w:p w:rsidRPr="008D56D3" w:rsidR="004149B0" w:rsidP="00551055" w:rsidRDefault="004149B0">
            <w:pPr>
              <w:overflowPunct/>
              <w:autoSpaceDE/>
              <w:autoSpaceDN/>
              <w:adjustRightInd/>
              <w:jc w:val="left"/>
              <w:textAlignment w:val="auto"/>
              <w:rPr>
                <w:rFonts w:ascii="Verdana" w:hAnsi="Verdana" w:cs="Calibri"/>
                <w:color w:val="000000"/>
                <w:sz w:val="20"/>
                <w:lang w:eastAsia="en-GB"/>
              </w:rPr>
            </w:pPr>
            <w:r w:rsidRPr="008D56D3">
              <w:rPr>
                <w:rFonts w:ascii="Verdana" w:hAnsi="Verdana" w:cs="Calibri"/>
                <w:color w:val="000000"/>
                <w:sz w:val="20"/>
                <w:lang w:eastAsia="en-GB"/>
              </w:rPr>
              <w:t> </w:t>
            </w:r>
          </w:p>
        </w:tc>
        <w:tc>
          <w:tcPr>
            <w:tcW w:w="1502" w:type="dxa"/>
            <w:tcBorders>
              <w:top w:val="single" w:color="auto" w:sz="4" w:space="0"/>
              <w:left w:val="nil"/>
              <w:bottom w:val="single" w:color="auto" w:sz="8" w:space="0"/>
              <w:right w:val="nil"/>
            </w:tcBorders>
            <w:shd w:val="clear" w:color="000000" w:fill="F2F2F2"/>
            <w:noWrap/>
            <w:vAlign w:val="bottom"/>
          </w:tcPr>
          <w:p w:rsidRPr="008D56D3" w:rsidR="004149B0" w:rsidP="002F633F" w:rsidRDefault="002F633F">
            <w:pPr>
              <w:overflowPunct/>
              <w:autoSpaceDE/>
              <w:autoSpaceDN/>
              <w:adjustRightInd/>
              <w:jc w:val="right"/>
              <w:textAlignment w:val="auto"/>
              <w:rPr>
                <w:rFonts w:ascii="Verdana" w:hAnsi="Verdana" w:cs="Calibri"/>
                <w:color w:val="000000"/>
                <w:sz w:val="20"/>
                <w:lang w:eastAsia="en-GB"/>
              </w:rPr>
            </w:pPr>
            <w:r>
              <w:rPr>
                <w:rFonts w:ascii="Verdana" w:hAnsi="Verdana" w:cs="Calibri"/>
                <w:color w:val="000000"/>
                <w:sz w:val="20"/>
                <w:lang w:eastAsia="en-GB"/>
              </w:rPr>
              <w:t>77</w:t>
            </w:r>
            <w:r w:rsidRPr="008D56D3" w:rsidR="008D56D3">
              <w:rPr>
                <w:rFonts w:ascii="Verdana" w:hAnsi="Verdana" w:cs="Calibri"/>
                <w:color w:val="000000"/>
                <w:sz w:val="20"/>
                <w:lang w:eastAsia="en-GB"/>
              </w:rPr>
              <w:t>,</w:t>
            </w:r>
            <w:r>
              <w:rPr>
                <w:rFonts w:ascii="Verdana" w:hAnsi="Verdana" w:cs="Calibri"/>
                <w:color w:val="000000"/>
                <w:sz w:val="20"/>
                <w:lang w:eastAsia="en-GB"/>
              </w:rPr>
              <w:t>052</w:t>
            </w:r>
          </w:p>
        </w:tc>
        <w:tc>
          <w:tcPr>
            <w:tcW w:w="360" w:type="dxa"/>
            <w:tcBorders>
              <w:top w:val="nil"/>
              <w:left w:val="nil"/>
              <w:bottom w:val="nil"/>
              <w:right w:val="nil"/>
            </w:tcBorders>
            <w:shd w:val="clear" w:color="000000" w:fill="F2F2F2"/>
            <w:noWrap/>
            <w:vAlign w:val="bottom"/>
            <w:hideMark/>
          </w:tcPr>
          <w:p w:rsidRPr="008D56D3" w:rsidR="004149B0" w:rsidP="00551055" w:rsidRDefault="004149B0">
            <w:pPr>
              <w:overflowPunct/>
              <w:autoSpaceDE/>
              <w:autoSpaceDN/>
              <w:adjustRightInd/>
              <w:jc w:val="left"/>
              <w:textAlignment w:val="auto"/>
              <w:rPr>
                <w:rFonts w:ascii="Verdana" w:hAnsi="Verdana" w:cs="Calibri"/>
                <w:color w:val="000000"/>
                <w:sz w:val="20"/>
                <w:lang w:eastAsia="en-GB"/>
              </w:rPr>
            </w:pPr>
            <w:r w:rsidRPr="008D56D3">
              <w:rPr>
                <w:rFonts w:ascii="Verdana" w:hAnsi="Verdana" w:cs="Calibri"/>
                <w:color w:val="000000"/>
                <w:sz w:val="20"/>
                <w:lang w:eastAsia="en-GB"/>
              </w:rPr>
              <w:t> </w:t>
            </w:r>
          </w:p>
        </w:tc>
        <w:tc>
          <w:tcPr>
            <w:tcW w:w="1398" w:type="dxa"/>
            <w:tcBorders>
              <w:top w:val="single" w:color="auto" w:sz="4" w:space="0"/>
              <w:left w:val="nil"/>
              <w:bottom w:val="single" w:color="auto" w:sz="8" w:space="0"/>
              <w:right w:val="nil"/>
            </w:tcBorders>
            <w:shd w:val="clear" w:color="000000" w:fill="F2F2F2"/>
            <w:vAlign w:val="bottom"/>
          </w:tcPr>
          <w:p w:rsidRPr="008D56D3" w:rsidR="004149B0" w:rsidP="004F2249" w:rsidRDefault="008D56D3">
            <w:pPr>
              <w:overflowPunct/>
              <w:autoSpaceDE/>
              <w:autoSpaceDN/>
              <w:adjustRightInd/>
              <w:jc w:val="right"/>
              <w:textAlignment w:val="auto"/>
              <w:rPr>
                <w:rFonts w:ascii="Verdana" w:hAnsi="Verdana" w:cs="Calibri"/>
                <w:color w:val="000000"/>
                <w:sz w:val="20"/>
                <w:lang w:eastAsia="en-GB"/>
              </w:rPr>
            </w:pPr>
            <w:r w:rsidRPr="008D56D3">
              <w:rPr>
                <w:rFonts w:ascii="Verdana" w:hAnsi="Verdana" w:cs="Calibri"/>
                <w:color w:val="000000"/>
                <w:sz w:val="20"/>
                <w:lang w:eastAsia="en-GB"/>
              </w:rPr>
              <w:t>8</w:t>
            </w:r>
            <w:r w:rsidR="004F2249">
              <w:rPr>
                <w:rFonts w:ascii="Verdana" w:hAnsi="Verdana" w:cs="Calibri"/>
                <w:color w:val="000000"/>
                <w:sz w:val="20"/>
                <w:lang w:eastAsia="en-GB"/>
              </w:rPr>
              <w:t>3</w:t>
            </w:r>
            <w:r w:rsidRPr="008D56D3">
              <w:rPr>
                <w:rFonts w:ascii="Verdana" w:hAnsi="Verdana" w:cs="Calibri"/>
                <w:color w:val="000000"/>
                <w:sz w:val="20"/>
                <w:lang w:eastAsia="en-GB"/>
              </w:rPr>
              <w:t>,</w:t>
            </w:r>
            <w:r w:rsidR="004F2249">
              <w:rPr>
                <w:rFonts w:ascii="Verdana" w:hAnsi="Verdana" w:cs="Calibri"/>
                <w:color w:val="000000"/>
                <w:sz w:val="20"/>
                <w:lang w:eastAsia="en-GB"/>
              </w:rPr>
              <w:t>747</w:t>
            </w:r>
          </w:p>
        </w:tc>
      </w:tr>
    </w:tbl>
    <w:p w:rsidRPr="008B41ED" w:rsidR="00551055" w:rsidP="00551055" w:rsidRDefault="00551055">
      <w:pPr>
        <w:rPr>
          <w:highlight w:val="yellow"/>
        </w:rPr>
      </w:pPr>
    </w:p>
    <w:p w:rsidRPr="00321BC0" w:rsidR="00E9305A" w:rsidP="00551055" w:rsidRDefault="00761B35">
      <w:pPr>
        <w:pStyle w:val="Heading1"/>
        <w:numPr>
          <w:ilvl w:val="0"/>
          <w:numId w:val="0"/>
        </w:numPr>
        <w:rPr>
          <w:rFonts w:ascii="Verdana" w:hAnsi="Verdana" w:cs="Arial"/>
        </w:rPr>
      </w:pPr>
      <w:r w:rsidRPr="00321BC0">
        <w:rPr>
          <w:rFonts w:ascii="Verdana" w:hAnsi="Verdana" w:cs="Arial"/>
        </w:rPr>
        <w:t>1</w:t>
      </w:r>
      <w:r w:rsidRPr="00321BC0" w:rsidR="004C030C">
        <w:rPr>
          <w:rFonts w:ascii="Verdana" w:hAnsi="Verdana" w:cs="Arial"/>
        </w:rPr>
        <w:t>0</w:t>
      </w:r>
      <w:r w:rsidRPr="00321BC0">
        <w:rPr>
          <w:rFonts w:ascii="Verdana" w:hAnsi="Verdana" w:cs="Arial"/>
        </w:rPr>
        <w:t>.</w:t>
      </w:r>
      <w:r w:rsidRPr="00321BC0" w:rsidR="00E9305A">
        <w:rPr>
          <w:rFonts w:ascii="Verdana" w:hAnsi="Verdana" w:cs="Arial"/>
        </w:rPr>
        <w:t xml:space="preserve"> Creditors: amounts falling due within </w:t>
      </w:r>
      <w:r w:rsidRPr="00321BC0" w:rsidR="00CC0EEA">
        <w:rPr>
          <w:rFonts w:ascii="Verdana" w:hAnsi="Verdana" w:cs="Arial"/>
        </w:rPr>
        <w:t>year</w:t>
      </w:r>
    </w:p>
    <w:p w:rsidRPr="00321BC0" w:rsidR="00FE2F1E" w:rsidP="00FE2F1E" w:rsidRDefault="00FE2F1E"/>
    <w:tbl>
      <w:tblPr>
        <w:tblW w:w="9938" w:type="dxa"/>
        <w:tblInd w:w="93" w:type="dxa"/>
        <w:tblLook w:val="04A0" w:firstRow="1" w:lastRow="0" w:firstColumn="1" w:lastColumn="0" w:noHBand="0" w:noVBand="1"/>
      </w:tblPr>
      <w:tblGrid>
        <w:gridCol w:w="6678"/>
        <w:gridCol w:w="1555"/>
        <w:gridCol w:w="287"/>
        <w:gridCol w:w="1418"/>
      </w:tblGrid>
      <w:tr w:rsidRPr="00321BC0" w:rsidR="004149B0" w:rsidTr="004149B0">
        <w:trPr>
          <w:trHeight w:val="300"/>
        </w:trPr>
        <w:tc>
          <w:tcPr>
            <w:tcW w:w="6678" w:type="dxa"/>
            <w:tcBorders>
              <w:top w:val="nil"/>
              <w:left w:val="nil"/>
              <w:bottom w:val="nil"/>
              <w:right w:val="nil"/>
            </w:tcBorders>
            <w:shd w:val="clear" w:color="000000" w:fill="F2F2F2"/>
            <w:vAlign w:val="center"/>
            <w:hideMark/>
          </w:tcPr>
          <w:p w:rsidRPr="00321BC0" w:rsidR="004149B0" w:rsidP="00FE2F1E" w:rsidRDefault="004149B0">
            <w:pPr>
              <w:overflowPunct/>
              <w:autoSpaceDE/>
              <w:autoSpaceDN/>
              <w:adjustRightInd/>
              <w:jc w:val="left"/>
              <w:textAlignment w:val="auto"/>
              <w:rPr>
                <w:rFonts w:ascii="Verdana" w:hAnsi="Verdana" w:cs="Calibri"/>
                <w:color w:val="000000"/>
                <w:sz w:val="20"/>
                <w:lang w:eastAsia="en-GB"/>
              </w:rPr>
            </w:pPr>
            <w:r w:rsidRPr="00321BC0">
              <w:rPr>
                <w:rFonts w:ascii="Verdana" w:hAnsi="Verdana" w:cs="Calibri"/>
                <w:color w:val="000000"/>
                <w:sz w:val="20"/>
                <w:lang w:eastAsia="en-GB"/>
              </w:rPr>
              <w:t> </w:t>
            </w:r>
          </w:p>
        </w:tc>
        <w:tc>
          <w:tcPr>
            <w:tcW w:w="1555" w:type="dxa"/>
            <w:tcBorders>
              <w:top w:val="nil"/>
              <w:left w:val="nil"/>
              <w:bottom w:val="nil"/>
              <w:right w:val="nil"/>
            </w:tcBorders>
            <w:shd w:val="clear" w:color="000000" w:fill="F2F2F2"/>
            <w:noWrap/>
            <w:vAlign w:val="bottom"/>
            <w:hideMark/>
          </w:tcPr>
          <w:p w:rsidRPr="00321BC0" w:rsidR="004149B0" w:rsidP="002F633F" w:rsidRDefault="004149B0">
            <w:pPr>
              <w:overflowPunct/>
              <w:autoSpaceDE/>
              <w:autoSpaceDN/>
              <w:adjustRightInd/>
              <w:jc w:val="right"/>
              <w:textAlignment w:val="auto"/>
              <w:rPr>
                <w:rFonts w:ascii="Verdana" w:hAnsi="Verdana" w:cs="Calibri"/>
                <w:b/>
                <w:bCs/>
                <w:color w:val="000000"/>
                <w:sz w:val="20"/>
                <w:lang w:eastAsia="en-GB"/>
              </w:rPr>
            </w:pPr>
            <w:r w:rsidRPr="00321BC0">
              <w:rPr>
                <w:rFonts w:ascii="Verdana" w:hAnsi="Verdana" w:cs="Calibri"/>
                <w:b/>
                <w:bCs/>
                <w:color w:val="000000"/>
                <w:sz w:val="20"/>
                <w:lang w:eastAsia="en-GB"/>
              </w:rPr>
              <w:t>201</w:t>
            </w:r>
            <w:r w:rsidR="002F633F">
              <w:rPr>
                <w:rFonts w:ascii="Verdana" w:hAnsi="Verdana" w:cs="Calibri"/>
                <w:b/>
                <w:bCs/>
                <w:color w:val="000000"/>
                <w:sz w:val="20"/>
                <w:lang w:eastAsia="en-GB"/>
              </w:rPr>
              <w:t>7</w:t>
            </w:r>
            <w:r w:rsidRPr="00321BC0">
              <w:rPr>
                <w:rFonts w:ascii="Verdana" w:hAnsi="Verdana" w:cs="Calibri"/>
                <w:b/>
                <w:bCs/>
                <w:color w:val="000000"/>
                <w:sz w:val="20"/>
                <w:lang w:eastAsia="en-GB"/>
              </w:rPr>
              <w:t>-1</w:t>
            </w:r>
            <w:r w:rsidR="002F633F">
              <w:rPr>
                <w:rFonts w:ascii="Verdana" w:hAnsi="Verdana" w:cs="Calibri"/>
                <w:b/>
                <w:bCs/>
                <w:color w:val="000000"/>
                <w:sz w:val="20"/>
                <w:lang w:eastAsia="en-GB"/>
              </w:rPr>
              <w:t>8</w:t>
            </w:r>
          </w:p>
        </w:tc>
        <w:tc>
          <w:tcPr>
            <w:tcW w:w="287" w:type="dxa"/>
            <w:tcBorders>
              <w:top w:val="nil"/>
              <w:left w:val="nil"/>
              <w:bottom w:val="nil"/>
              <w:right w:val="nil"/>
            </w:tcBorders>
            <w:shd w:val="clear" w:color="000000" w:fill="F2F2F2"/>
            <w:vAlign w:val="center"/>
            <w:hideMark/>
          </w:tcPr>
          <w:p w:rsidRPr="00321BC0" w:rsidR="004149B0" w:rsidP="00FE2F1E" w:rsidRDefault="004149B0">
            <w:pPr>
              <w:overflowPunct/>
              <w:autoSpaceDE/>
              <w:autoSpaceDN/>
              <w:adjustRightInd/>
              <w:jc w:val="right"/>
              <w:textAlignment w:val="auto"/>
              <w:rPr>
                <w:rFonts w:ascii="Verdana" w:hAnsi="Verdana" w:cs="Calibri"/>
                <w:b/>
                <w:bCs/>
                <w:color w:val="000000"/>
                <w:sz w:val="20"/>
                <w:lang w:eastAsia="en-GB"/>
              </w:rPr>
            </w:pPr>
            <w:r w:rsidRPr="00321BC0">
              <w:rPr>
                <w:rFonts w:ascii="Verdana" w:hAnsi="Verdana" w:cs="Calibri"/>
                <w:b/>
                <w:bCs/>
                <w:color w:val="000000"/>
                <w:sz w:val="20"/>
                <w:lang w:eastAsia="en-GB"/>
              </w:rPr>
              <w:t> </w:t>
            </w:r>
          </w:p>
        </w:tc>
        <w:tc>
          <w:tcPr>
            <w:tcW w:w="1418" w:type="dxa"/>
            <w:tcBorders>
              <w:top w:val="nil"/>
              <w:left w:val="nil"/>
              <w:bottom w:val="nil"/>
              <w:right w:val="nil"/>
            </w:tcBorders>
            <w:shd w:val="clear" w:color="000000" w:fill="F2F2F2"/>
            <w:vAlign w:val="bottom"/>
          </w:tcPr>
          <w:p w:rsidRPr="00321BC0" w:rsidR="004149B0" w:rsidP="002F633F" w:rsidRDefault="004149B0">
            <w:pPr>
              <w:overflowPunct/>
              <w:autoSpaceDE/>
              <w:autoSpaceDN/>
              <w:adjustRightInd/>
              <w:jc w:val="right"/>
              <w:textAlignment w:val="auto"/>
              <w:rPr>
                <w:rFonts w:ascii="Verdana" w:hAnsi="Verdana" w:cs="Calibri"/>
                <w:b/>
                <w:bCs/>
                <w:color w:val="000000"/>
                <w:sz w:val="20"/>
                <w:lang w:eastAsia="en-GB"/>
              </w:rPr>
            </w:pPr>
            <w:r w:rsidRPr="00321BC0">
              <w:rPr>
                <w:rFonts w:ascii="Verdana" w:hAnsi="Verdana" w:cs="Calibri"/>
                <w:b/>
                <w:bCs/>
                <w:color w:val="000000"/>
                <w:sz w:val="20"/>
                <w:lang w:eastAsia="en-GB"/>
              </w:rPr>
              <w:t>201</w:t>
            </w:r>
            <w:r w:rsidR="002F633F">
              <w:rPr>
                <w:rFonts w:ascii="Verdana" w:hAnsi="Verdana" w:cs="Calibri"/>
                <w:b/>
                <w:bCs/>
                <w:color w:val="000000"/>
                <w:sz w:val="20"/>
                <w:lang w:eastAsia="en-GB"/>
              </w:rPr>
              <w:t>6</w:t>
            </w:r>
            <w:r w:rsidRPr="00321BC0">
              <w:rPr>
                <w:rFonts w:ascii="Verdana" w:hAnsi="Verdana" w:cs="Calibri"/>
                <w:b/>
                <w:bCs/>
                <w:color w:val="000000"/>
                <w:sz w:val="20"/>
                <w:lang w:eastAsia="en-GB"/>
              </w:rPr>
              <w:t>-1</w:t>
            </w:r>
            <w:r w:rsidR="002F633F">
              <w:rPr>
                <w:rFonts w:ascii="Verdana" w:hAnsi="Verdana" w:cs="Calibri"/>
                <w:b/>
                <w:bCs/>
                <w:color w:val="000000"/>
                <w:sz w:val="20"/>
                <w:lang w:eastAsia="en-GB"/>
              </w:rPr>
              <w:t>7</w:t>
            </w:r>
          </w:p>
        </w:tc>
      </w:tr>
      <w:tr w:rsidRPr="00321BC0" w:rsidR="004149B0" w:rsidTr="004149B0">
        <w:trPr>
          <w:trHeight w:val="300"/>
        </w:trPr>
        <w:tc>
          <w:tcPr>
            <w:tcW w:w="6678" w:type="dxa"/>
            <w:tcBorders>
              <w:top w:val="nil"/>
              <w:left w:val="nil"/>
              <w:bottom w:val="nil"/>
              <w:right w:val="nil"/>
            </w:tcBorders>
            <w:shd w:val="clear" w:color="000000" w:fill="F2F2F2"/>
            <w:vAlign w:val="center"/>
            <w:hideMark/>
          </w:tcPr>
          <w:p w:rsidRPr="00321BC0" w:rsidR="004149B0" w:rsidP="00FE2F1E" w:rsidRDefault="004149B0">
            <w:pPr>
              <w:overflowPunct/>
              <w:autoSpaceDE/>
              <w:autoSpaceDN/>
              <w:adjustRightInd/>
              <w:jc w:val="left"/>
              <w:textAlignment w:val="auto"/>
              <w:rPr>
                <w:rFonts w:ascii="Verdana" w:hAnsi="Verdana" w:cs="Calibri"/>
                <w:color w:val="000000"/>
                <w:sz w:val="20"/>
                <w:lang w:eastAsia="en-GB"/>
              </w:rPr>
            </w:pPr>
            <w:r w:rsidRPr="00321BC0">
              <w:rPr>
                <w:rFonts w:ascii="Verdana" w:hAnsi="Verdana" w:cs="Calibri"/>
                <w:color w:val="000000"/>
                <w:sz w:val="20"/>
                <w:lang w:eastAsia="en-GB"/>
              </w:rPr>
              <w:t> </w:t>
            </w:r>
          </w:p>
        </w:tc>
        <w:tc>
          <w:tcPr>
            <w:tcW w:w="1555" w:type="dxa"/>
            <w:tcBorders>
              <w:top w:val="nil"/>
              <w:left w:val="nil"/>
              <w:bottom w:val="nil"/>
              <w:right w:val="nil"/>
            </w:tcBorders>
            <w:shd w:val="clear" w:color="000000" w:fill="F2F2F2"/>
            <w:noWrap/>
            <w:vAlign w:val="bottom"/>
            <w:hideMark/>
          </w:tcPr>
          <w:p w:rsidRPr="00321BC0" w:rsidR="004149B0" w:rsidP="00FE2F1E" w:rsidRDefault="004149B0">
            <w:pPr>
              <w:overflowPunct/>
              <w:autoSpaceDE/>
              <w:autoSpaceDN/>
              <w:adjustRightInd/>
              <w:jc w:val="right"/>
              <w:textAlignment w:val="auto"/>
              <w:rPr>
                <w:rFonts w:ascii="Verdana" w:hAnsi="Verdana" w:cs="Calibri"/>
                <w:b/>
                <w:bCs/>
                <w:color w:val="000000"/>
                <w:sz w:val="20"/>
                <w:lang w:eastAsia="en-GB"/>
              </w:rPr>
            </w:pPr>
            <w:r w:rsidRPr="00321BC0">
              <w:rPr>
                <w:rFonts w:ascii="Verdana" w:hAnsi="Verdana" w:cs="Calibri"/>
                <w:b/>
                <w:bCs/>
                <w:color w:val="000000"/>
                <w:sz w:val="20"/>
                <w:lang w:eastAsia="en-GB"/>
              </w:rPr>
              <w:t>£</w:t>
            </w:r>
          </w:p>
        </w:tc>
        <w:tc>
          <w:tcPr>
            <w:tcW w:w="287" w:type="dxa"/>
            <w:tcBorders>
              <w:top w:val="nil"/>
              <w:left w:val="nil"/>
              <w:bottom w:val="nil"/>
              <w:right w:val="nil"/>
            </w:tcBorders>
            <w:shd w:val="clear" w:color="000000" w:fill="F2F2F2"/>
            <w:vAlign w:val="center"/>
            <w:hideMark/>
          </w:tcPr>
          <w:p w:rsidRPr="00321BC0" w:rsidR="004149B0" w:rsidP="00FE2F1E" w:rsidRDefault="004149B0">
            <w:pPr>
              <w:overflowPunct/>
              <w:autoSpaceDE/>
              <w:autoSpaceDN/>
              <w:adjustRightInd/>
              <w:jc w:val="right"/>
              <w:textAlignment w:val="auto"/>
              <w:rPr>
                <w:rFonts w:ascii="Verdana" w:hAnsi="Verdana" w:cs="Calibri"/>
                <w:b/>
                <w:bCs/>
                <w:color w:val="000000"/>
                <w:sz w:val="20"/>
                <w:lang w:eastAsia="en-GB"/>
              </w:rPr>
            </w:pPr>
            <w:r w:rsidRPr="00321BC0">
              <w:rPr>
                <w:rFonts w:ascii="Verdana" w:hAnsi="Verdana" w:cs="Calibri"/>
                <w:b/>
                <w:bCs/>
                <w:color w:val="000000"/>
                <w:sz w:val="20"/>
                <w:lang w:eastAsia="en-GB"/>
              </w:rPr>
              <w:t> </w:t>
            </w:r>
          </w:p>
        </w:tc>
        <w:tc>
          <w:tcPr>
            <w:tcW w:w="1418" w:type="dxa"/>
            <w:tcBorders>
              <w:top w:val="nil"/>
              <w:left w:val="nil"/>
              <w:bottom w:val="nil"/>
              <w:right w:val="nil"/>
            </w:tcBorders>
            <w:shd w:val="clear" w:color="000000" w:fill="F2F2F2"/>
            <w:vAlign w:val="bottom"/>
          </w:tcPr>
          <w:p w:rsidRPr="00321BC0" w:rsidR="004149B0" w:rsidP="00AF5C73" w:rsidRDefault="004149B0">
            <w:pPr>
              <w:overflowPunct/>
              <w:autoSpaceDE/>
              <w:autoSpaceDN/>
              <w:adjustRightInd/>
              <w:jc w:val="right"/>
              <w:textAlignment w:val="auto"/>
              <w:rPr>
                <w:rFonts w:ascii="Verdana" w:hAnsi="Verdana" w:cs="Calibri"/>
                <w:b/>
                <w:bCs/>
                <w:color w:val="000000"/>
                <w:sz w:val="20"/>
                <w:lang w:eastAsia="en-GB"/>
              </w:rPr>
            </w:pPr>
            <w:r w:rsidRPr="00321BC0">
              <w:rPr>
                <w:rFonts w:ascii="Verdana" w:hAnsi="Verdana" w:cs="Calibri"/>
                <w:b/>
                <w:bCs/>
                <w:color w:val="000000"/>
                <w:sz w:val="20"/>
                <w:lang w:eastAsia="en-GB"/>
              </w:rPr>
              <w:t>£</w:t>
            </w:r>
          </w:p>
        </w:tc>
      </w:tr>
      <w:tr w:rsidRPr="00321BC0" w:rsidR="004149B0" w:rsidTr="004149B0">
        <w:trPr>
          <w:trHeight w:val="300"/>
        </w:trPr>
        <w:tc>
          <w:tcPr>
            <w:tcW w:w="6678" w:type="dxa"/>
            <w:tcBorders>
              <w:top w:val="nil"/>
              <w:left w:val="nil"/>
              <w:bottom w:val="nil"/>
              <w:right w:val="nil"/>
            </w:tcBorders>
            <w:shd w:val="clear" w:color="000000" w:fill="F2F2F2"/>
            <w:vAlign w:val="center"/>
            <w:hideMark/>
          </w:tcPr>
          <w:p w:rsidRPr="00321BC0" w:rsidR="004149B0" w:rsidP="00FE2F1E" w:rsidRDefault="004149B0">
            <w:pPr>
              <w:overflowPunct/>
              <w:autoSpaceDE/>
              <w:autoSpaceDN/>
              <w:adjustRightInd/>
              <w:jc w:val="left"/>
              <w:textAlignment w:val="auto"/>
              <w:rPr>
                <w:rFonts w:ascii="Verdana" w:hAnsi="Verdana" w:cs="Calibri"/>
                <w:color w:val="000000"/>
                <w:sz w:val="20"/>
                <w:lang w:eastAsia="en-GB"/>
              </w:rPr>
            </w:pPr>
            <w:r w:rsidRPr="00321BC0">
              <w:rPr>
                <w:rFonts w:ascii="Verdana" w:hAnsi="Verdana" w:cs="Calibri"/>
                <w:color w:val="000000"/>
                <w:sz w:val="20"/>
                <w:lang w:eastAsia="en-GB"/>
              </w:rPr>
              <w:t> </w:t>
            </w:r>
          </w:p>
        </w:tc>
        <w:tc>
          <w:tcPr>
            <w:tcW w:w="1555" w:type="dxa"/>
            <w:tcBorders>
              <w:top w:val="nil"/>
              <w:left w:val="nil"/>
              <w:bottom w:val="nil"/>
              <w:right w:val="nil"/>
            </w:tcBorders>
            <w:shd w:val="clear" w:color="000000" w:fill="F2F2F2"/>
            <w:noWrap/>
            <w:vAlign w:val="bottom"/>
            <w:hideMark/>
          </w:tcPr>
          <w:p w:rsidRPr="00321BC0" w:rsidR="004149B0" w:rsidP="00FE2F1E" w:rsidRDefault="004149B0">
            <w:pPr>
              <w:overflowPunct/>
              <w:autoSpaceDE/>
              <w:autoSpaceDN/>
              <w:adjustRightInd/>
              <w:jc w:val="right"/>
              <w:textAlignment w:val="auto"/>
              <w:rPr>
                <w:rFonts w:ascii="Verdana" w:hAnsi="Verdana" w:cs="Calibri"/>
                <w:color w:val="000000"/>
                <w:sz w:val="20"/>
                <w:lang w:eastAsia="en-GB"/>
              </w:rPr>
            </w:pPr>
            <w:r w:rsidRPr="00321BC0">
              <w:rPr>
                <w:rFonts w:ascii="Verdana" w:hAnsi="Verdana" w:cs="Calibri"/>
                <w:color w:val="000000"/>
                <w:sz w:val="20"/>
                <w:lang w:eastAsia="en-GB"/>
              </w:rPr>
              <w:t> </w:t>
            </w:r>
          </w:p>
        </w:tc>
        <w:tc>
          <w:tcPr>
            <w:tcW w:w="287" w:type="dxa"/>
            <w:tcBorders>
              <w:top w:val="nil"/>
              <w:left w:val="nil"/>
              <w:bottom w:val="nil"/>
              <w:right w:val="nil"/>
            </w:tcBorders>
            <w:shd w:val="clear" w:color="000000" w:fill="F2F2F2"/>
            <w:vAlign w:val="center"/>
            <w:hideMark/>
          </w:tcPr>
          <w:p w:rsidRPr="00321BC0" w:rsidR="004149B0" w:rsidP="00FE2F1E" w:rsidRDefault="004149B0">
            <w:pPr>
              <w:overflowPunct/>
              <w:autoSpaceDE/>
              <w:autoSpaceDN/>
              <w:adjustRightInd/>
              <w:jc w:val="right"/>
              <w:textAlignment w:val="auto"/>
              <w:rPr>
                <w:rFonts w:ascii="Verdana" w:hAnsi="Verdana" w:cs="Calibri"/>
                <w:color w:val="000000"/>
                <w:sz w:val="20"/>
                <w:lang w:eastAsia="en-GB"/>
              </w:rPr>
            </w:pPr>
            <w:r w:rsidRPr="00321BC0">
              <w:rPr>
                <w:rFonts w:ascii="Verdana" w:hAnsi="Verdana" w:cs="Calibri"/>
                <w:color w:val="000000"/>
                <w:sz w:val="20"/>
                <w:lang w:eastAsia="en-GB"/>
              </w:rPr>
              <w:t> </w:t>
            </w:r>
          </w:p>
        </w:tc>
        <w:tc>
          <w:tcPr>
            <w:tcW w:w="1418" w:type="dxa"/>
            <w:tcBorders>
              <w:top w:val="nil"/>
              <w:left w:val="nil"/>
              <w:bottom w:val="nil"/>
              <w:right w:val="nil"/>
            </w:tcBorders>
            <w:shd w:val="clear" w:color="000000" w:fill="F2F2F2"/>
            <w:vAlign w:val="bottom"/>
          </w:tcPr>
          <w:p w:rsidRPr="00321BC0" w:rsidR="004149B0" w:rsidP="00AF5C73" w:rsidRDefault="004149B0">
            <w:pPr>
              <w:overflowPunct/>
              <w:autoSpaceDE/>
              <w:autoSpaceDN/>
              <w:adjustRightInd/>
              <w:jc w:val="right"/>
              <w:textAlignment w:val="auto"/>
              <w:rPr>
                <w:rFonts w:ascii="Verdana" w:hAnsi="Verdana" w:cs="Calibri"/>
                <w:color w:val="000000"/>
                <w:sz w:val="20"/>
                <w:lang w:eastAsia="en-GB"/>
              </w:rPr>
            </w:pPr>
            <w:r w:rsidRPr="00321BC0">
              <w:rPr>
                <w:rFonts w:ascii="Verdana" w:hAnsi="Verdana" w:cs="Calibri"/>
                <w:color w:val="000000"/>
                <w:sz w:val="20"/>
                <w:lang w:eastAsia="en-GB"/>
              </w:rPr>
              <w:t> </w:t>
            </w:r>
          </w:p>
        </w:tc>
      </w:tr>
      <w:tr w:rsidRPr="00321BC0" w:rsidR="002F633F" w:rsidTr="003B0A24">
        <w:trPr>
          <w:trHeight w:val="300"/>
        </w:trPr>
        <w:tc>
          <w:tcPr>
            <w:tcW w:w="6678" w:type="dxa"/>
            <w:tcBorders>
              <w:top w:val="nil"/>
              <w:left w:val="nil"/>
              <w:bottom w:val="nil"/>
              <w:right w:val="nil"/>
            </w:tcBorders>
            <w:shd w:val="clear" w:color="000000" w:fill="F2F2F2"/>
            <w:vAlign w:val="center"/>
            <w:hideMark/>
          </w:tcPr>
          <w:p w:rsidRPr="00321BC0" w:rsidR="002F633F" w:rsidP="00FE2F1E" w:rsidRDefault="002F633F">
            <w:pPr>
              <w:overflowPunct/>
              <w:autoSpaceDE/>
              <w:autoSpaceDN/>
              <w:adjustRightInd/>
              <w:jc w:val="left"/>
              <w:textAlignment w:val="auto"/>
              <w:rPr>
                <w:rFonts w:ascii="Verdana" w:hAnsi="Verdana" w:cs="Calibri"/>
                <w:color w:val="000000"/>
                <w:sz w:val="20"/>
                <w:lang w:eastAsia="en-GB"/>
              </w:rPr>
            </w:pPr>
            <w:r w:rsidRPr="00321BC0">
              <w:rPr>
                <w:rFonts w:ascii="Verdana" w:hAnsi="Verdana" w:cs="Calibri"/>
                <w:color w:val="000000"/>
                <w:sz w:val="20"/>
                <w:lang w:eastAsia="en-GB"/>
              </w:rPr>
              <w:t>Third Party Creditors</w:t>
            </w:r>
          </w:p>
        </w:tc>
        <w:tc>
          <w:tcPr>
            <w:tcW w:w="1555" w:type="dxa"/>
            <w:tcBorders>
              <w:top w:val="nil"/>
              <w:left w:val="nil"/>
              <w:bottom w:val="nil"/>
              <w:right w:val="nil"/>
            </w:tcBorders>
            <w:shd w:val="clear" w:color="000000" w:fill="F2F2F2"/>
            <w:noWrap/>
            <w:vAlign w:val="center"/>
          </w:tcPr>
          <w:p w:rsidR="002F633F" w:rsidRDefault="002F633F">
            <w:pPr>
              <w:jc w:val="right"/>
              <w:rPr>
                <w:rFonts w:ascii="Verdana" w:hAnsi="Verdana"/>
                <w:color w:val="000000"/>
                <w:sz w:val="20"/>
              </w:rPr>
            </w:pPr>
            <w:r>
              <w:rPr>
                <w:rFonts w:ascii="Verdana" w:hAnsi="Verdana"/>
                <w:color w:val="000000"/>
                <w:sz w:val="20"/>
              </w:rPr>
              <w:t>723,813</w:t>
            </w:r>
          </w:p>
        </w:tc>
        <w:tc>
          <w:tcPr>
            <w:tcW w:w="287" w:type="dxa"/>
            <w:tcBorders>
              <w:top w:val="nil"/>
              <w:left w:val="nil"/>
              <w:bottom w:val="nil"/>
              <w:right w:val="nil"/>
            </w:tcBorders>
            <w:shd w:val="clear" w:color="000000" w:fill="F2F2F2"/>
            <w:vAlign w:val="center"/>
            <w:hideMark/>
          </w:tcPr>
          <w:p w:rsidR="002F633F" w:rsidRDefault="002F633F">
            <w:pPr>
              <w:jc w:val="right"/>
              <w:rPr>
                <w:rFonts w:ascii="Verdana" w:hAnsi="Verdana"/>
                <w:color w:val="000000"/>
                <w:sz w:val="20"/>
              </w:rPr>
            </w:pPr>
            <w:r>
              <w:rPr>
                <w:rFonts w:ascii="Verdana" w:hAnsi="Verdana"/>
                <w:color w:val="000000"/>
                <w:sz w:val="20"/>
              </w:rPr>
              <w:t> </w:t>
            </w:r>
          </w:p>
        </w:tc>
        <w:tc>
          <w:tcPr>
            <w:tcW w:w="1418" w:type="dxa"/>
            <w:tcBorders>
              <w:top w:val="nil"/>
              <w:left w:val="nil"/>
              <w:bottom w:val="nil"/>
              <w:right w:val="nil"/>
            </w:tcBorders>
            <w:shd w:val="clear" w:color="000000" w:fill="F2F2F2"/>
            <w:vAlign w:val="center"/>
          </w:tcPr>
          <w:p w:rsidR="002F633F" w:rsidRDefault="002F633F">
            <w:pPr>
              <w:jc w:val="right"/>
              <w:rPr>
                <w:rFonts w:ascii="Verdana" w:hAnsi="Verdana"/>
                <w:color w:val="000000"/>
                <w:sz w:val="20"/>
              </w:rPr>
            </w:pPr>
            <w:r>
              <w:rPr>
                <w:rFonts w:ascii="Verdana" w:hAnsi="Verdana"/>
                <w:color w:val="000000"/>
                <w:sz w:val="20"/>
              </w:rPr>
              <w:t>592,645</w:t>
            </w:r>
          </w:p>
        </w:tc>
      </w:tr>
      <w:tr w:rsidRPr="00321BC0" w:rsidR="002F633F" w:rsidTr="003B0A24">
        <w:trPr>
          <w:trHeight w:val="300"/>
        </w:trPr>
        <w:tc>
          <w:tcPr>
            <w:tcW w:w="6678" w:type="dxa"/>
            <w:tcBorders>
              <w:top w:val="nil"/>
              <w:left w:val="nil"/>
              <w:bottom w:val="nil"/>
              <w:right w:val="nil"/>
            </w:tcBorders>
            <w:shd w:val="clear" w:color="000000" w:fill="F2F2F2"/>
            <w:vAlign w:val="center"/>
            <w:hideMark/>
          </w:tcPr>
          <w:p w:rsidRPr="00321BC0" w:rsidR="002F633F" w:rsidP="00FE2F1E" w:rsidRDefault="002F633F">
            <w:pPr>
              <w:overflowPunct/>
              <w:autoSpaceDE/>
              <w:autoSpaceDN/>
              <w:adjustRightInd/>
              <w:jc w:val="left"/>
              <w:textAlignment w:val="auto"/>
              <w:rPr>
                <w:rFonts w:ascii="Verdana" w:hAnsi="Verdana" w:cs="Calibri"/>
                <w:color w:val="000000"/>
                <w:sz w:val="20"/>
                <w:lang w:eastAsia="en-GB"/>
              </w:rPr>
            </w:pPr>
            <w:r w:rsidRPr="00321BC0">
              <w:rPr>
                <w:rFonts w:ascii="Verdana" w:hAnsi="Verdana" w:cs="Calibri"/>
                <w:color w:val="000000"/>
                <w:sz w:val="20"/>
                <w:lang w:eastAsia="en-GB"/>
              </w:rPr>
              <w:t>Intercompany Creditor</w:t>
            </w:r>
          </w:p>
        </w:tc>
        <w:tc>
          <w:tcPr>
            <w:tcW w:w="1555" w:type="dxa"/>
            <w:tcBorders>
              <w:top w:val="nil"/>
              <w:left w:val="nil"/>
              <w:bottom w:val="nil"/>
              <w:right w:val="nil"/>
            </w:tcBorders>
            <w:shd w:val="clear" w:color="000000" w:fill="F2F2F2"/>
            <w:noWrap/>
            <w:vAlign w:val="center"/>
          </w:tcPr>
          <w:p w:rsidR="002F633F" w:rsidRDefault="002F633F">
            <w:pPr>
              <w:jc w:val="right"/>
              <w:rPr>
                <w:rFonts w:ascii="Verdana" w:hAnsi="Verdana"/>
                <w:color w:val="000000"/>
                <w:sz w:val="20"/>
              </w:rPr>
            </w:pPr>
            <w:r>
              <w:rPr>
                <w:rFonts w:ascii="Verdana" w:hAnsi="Verdana"/>
                <w:color w:val="000000"/>
                <w:sz w:val="20"/>
              </w:rPr>
              <w:t>2,335,628</w:t>
            </w:r>
          </w:p>
        </w:tc>
        <w:tc>
          <w:tcPr>
            <w:tcW w:w="287" w:type="dxa"/>
            <w:tcBorders>
              <w:top w:val="nil"/>
              <w:left w:val="nil"/>
              <w:bottom w:val="nil"/>
              <w:right w:val="nil"/>
            </w:tcBorders>
            <w:shd w:val="clear" w:color="000000" w:fill="F2F2F2"/>
            <w:vAlign w:val="center"/>
            <w:hideMark/>
          </w:tcPr>
          <w:p w:rsidR="002F633F" w:rsidRDefault="002F633F">
            <w:pPr>
              <w:jc w:val="right"/>
              <w:rPr>
                <w:rFonts w:ascii="Verdana" w:hAnsi="Verdana"/>
                <w:color w:val="000000"/>
                <w:sz w:val="20"/>
              </w:rPr>
            </w:pPr>
            <w:r>
              <w:rPr>
                <w:rFonts w:ascii="Verdana" w:hAnsi="Verdana"/>
                <w:color w:val="000000"/>
                <w:sz w:val="20"/>
              </w:rPr>
              <w:t> </w:t>
            </w:r>
          </w:p>
        </w:tc>
        <w:tc>
          <w:tcPr>
            <w:tcW w:w="1418" w:type="dxa"/>
            <w:tcBorders>
              <w:top w:val="nil"/>
              <w:left w:val="nil"/>
              <w:bottom w:val="nil"/>
              <w:right w:val="nil"/>
            </w:tcBorders>
            <w:shd w:val="clear" w:color="000000" w:fill="F2F2F2"/>
            <w:vAlign w:val="center"/>
          </w:tcPr>
          <w:p w:rsidR="002F633F" w:rsidRDefault="002F633F">
            <w:pPr>
              <w:jc w:val="right"/>
              <w:rPr>
                <w:rFonts w:ascii="Verdana" w:hAnsi="Verdana"/>
                <w:color w:val="000000"/>
                <w:sz w:val="20"/>
              </w:rPr>
            </w:pPr>
            <w:r>
              <w:rPr>
                <w:rFonts w:ascii="Verdana" w:hAnsi="Verdana"/>
                <w:color w:val="000000"/>
                <w:sz w:val="20"/>
              </w:rPr>
              <w:t>949,268</w:t>
            </w:r>
          </w:p>
        </w:tc>
      </w:tr>
      <w:tr w:rsidRPr="00321BC0" w:rsidR="002F633F" w:rsidTr="003B0A24">
        <w:trPr>
          <w:trHeight w:val="300"/>
        </w:trPr>
        <w:tc>
          <w:tcPr>
            <w:tcW w:w="6678" w:type="dxa"/>
            <w:tcBorders>
              <w:top w:val="nil"/>
              <w:left w:val="nil"/>
              <w:bottom w:val="nil"/>
              <w:right w:val="nil"/>
            </w:tcBorders>
            <w:shd w:val="clear" w:color="000000" w:fill="F2F2F2"/>
            <w:vAlign w:val="center"/>
            <w:hideMark/>
          </w:tcPr>
          <w:p w:rsidRPr="00321BC0" w:rsidR="002F633F" w:rsidP="00FE2F1E" w:rsidRDefault="002F633F">
            <w:pPr>
              <w:overflowPunct/>
              <w:autoSpaceDE/>
              <w:autoSpaceDN/>
              <w:adjustRightInd/>
              <w:jc w:val="left"/>
              <w:textAlignment w:val="auto"/>
              <w:rPr>
                <w:rFonts w:ascii="Verdana" w:hAnsi="Verdana" w:cs="Calibri"/>
                <w:color w:val="000000"/>
                <w:sz w:val="20"/>
                <w:lang w:eastAsia="en-GB"/>
              </w:rPr>
            </w:pPr>
            <w:r w:rsidRPr="00321BC0">
              <w:rPr>
                <w:rFonts w:ascii="Verdana" w:hAnsi="Verdana" w:cs="Calibri"/>
                <w:color w:val="000000"/>
                <w:sz w:val="20"/>
                <w:lang w:eastAsia="en-GB"/>
              </w:rPr>
              <w:t>Corporation Tax Creditor</w:t>
            </w:r>
          </w:p>
        </w:tc>
        <w:tc>
          <w:tcPr>
            <w:tcW w:w="1555" w:type="dxa"/>
            <w:tcBorders>
              <w:top w:val="nil"/>
              <w:left w:val="nil"/>
              <w:bottom w:val="nil"/>
              <w:right w:val="nil"/>
            </w:tcBorders>
            <w:shd w:val="clear" w:color="000000" w:fill="F2F2F2"/>
            <w:noWrap/>
            <w:vAlign w:val="center"/>
          </w:tcPr>
          <w:p w:rsidR="002F633F" w:rsidRDefault="002F633F">
            <w:pPr>
              <w:jc w:val="right"/>
              <w:rPr>
                <w:rFonts w:ascii="Verdana" w:hAnsi="Verdana"/>
                <w:color w:val="000000"/>
                <w:sz w:val="20"/>
              </w:rPr>
            </w:pPr>
            <w:r>
              <w:rPr>
                <w:rFonts w:ascii="Verdana" w:hAnsi="Verdana"/>
                <w:color w:val="000000"/>
                <w:sz w:val="20"/>
              </w:rPr>
              <w:t>8,678</w:t>
            </w:r>
          </w:p>
        </w:tc>
        <w:tc>
          <w:tcPr>
            <w:tcW w:w="287" w:type="dxa"/>
            <w:tcBorders>
              <w:top w:val="nil"/>
              <w:left w:val="nil"/>
              <w:bottom w:val="nil"/>
              <w:right w:val="nil"/>
            </w:tcBorders>
            <w:shd w:val="clear" w:color="000000" w:fill="F2F2F2"/>
            <w:vAlign w:val="center"/>
            <w:hideMark/>
          </w:tcPr>
          <w:p w:rsidR="002F633F" w:rsidRDefault="002F633F">
            <w:pPr>
              <w:jc w:val="right"/>
              <w:rPr>
                <w:rFonts w:ascii="Verdana" w:hAnsi="Verdana"/>
                <w:color w:val="000000"/>
                <w:sz w:val="20"/>
              </w:rPr>
            </w:pPr>
            <w:r>
              <w:rPr>
                <w:rFonts w:ascii="Verdana" w:hAnsi="Verdana"/>
                <w:color w:val="000000"/>
                <w:sz w:val="20"/>
              </w:rPr>
              <w:t> </w:t>
            </w:r>
          </w:p>
        </w:tc>
        <w:tc>
          <w:tcPr>
            <w:tcW w:w="1418" w:type="dxa"/>
            <w:tcBorders>
              <w:top w:val="nil"/>
              <w:left w:val="nil"/>
              <w:bottom w:val="nil"/>
              <w:right w:val="nil"/>
            </w:tcBorders>
            <w:shd w:val="clear" w:color="000000" w:fill="F2F2F2"/>
            <w:vAlign w:val="center"/>
          </w:tcPr>
          <w:p w:rsidR="002F633F" w:rsidRDefault="002F633F">
            <w:pPr>
              <w:jc w:val="right"/>
              <w:rPr>
                <w:rFonts w:ascii="Verdana" w:hAnsi="Verdana"/>
                <w:color w:val="000000"/>
                <w:sz w:val="20"/>
              </w:rPr>
            </w:pPr>
            <w:r>
              <w:rPr>
                <w:rFonts w:ascii="Verdana" w:hAnsi="Verdana"/>
                <w:color w:val="000000"/>
                <w:sz w:val="20"/>
              </w:rPr>
              <w:t>14,477</w:t>
            </w:r>
          </w:p>
        </w:tc>
      </w:tr>
      <w:tr w:rsidRPr="00321BC0" w:rsidR="002F633F" w:rsidTr="003B0A24">
        <w:trPr>
          <w:trHeight w:val="300"/>
        </w:trPr>
        <w:tc>
          <w:tcPr>
            <w:tcW w:w="6678" w:type="dxa"/>
            <w:tcBorders>
              <w:top w:val="nil"/>
              <w:left w:val="nil"/>
              <w:bottom w:val="nil"/>
              <w:right w:val="nil"/>
            </w:tcBorders>
            <w:shd w:val="clear" w:color="000000" w:fill="F2F2F2"/>
            <w:vAlign w:val="center"/>
            <w:hideMark/>
          </w:tcPr>
          <w:p w:rsidRPr="00321BC0" w:rsidR="002F633F" w:rsidP="00FE2F1E" w:rsidRDefault="002F633F">
            <w:pPr>
              <w:overflowPunct/>
              <w:autoSpaceDE/>
              <w:autoSpaceDN/>
              <w:adjustRightInd/>
              <w:jc w:val="left"/>
              <w:textAlignment w:val="auto"/>
              <w:rPr>
                <w:rFonts w:ascii="Verdana" w:hAnsi="Verdana" w:cs="Calibri"/>
                <w:color w:val="000000"/>
                <w:sz w:val="20"/>
                <w:lang w:eastAsia="en-GB"/>
              </w:rPr>
            </w:pPr>
            <w:r w:rsidRPr="00321BC0">
              <w:rPr>
                <w:rFonts w:ascii="Verdana" w:hAnsi="Verdana" w:cs="Calibri"/>
                <w:color w:val="000000"/>
                <w:sz w:val="20"/>
                <w:lang w:eastAsia="en-GB"/>
              </w:rPr>
              <w:t>VAT Creditor</w:t>
            </w:r>
          </w:p>
        </w:tc>
        <w:tc>
          <w:tcPr>
            <w:tcW w:w="1555" w:type="dxa"/>
            <w:tcBorders>
              <w:top w:val="nil"/>
              <w:left w:val="nil"/>
              <w:bottom w:val="nil"/>
              <w:right w:val="nil"/>
            </w:tcBorders>
            <w:shd w:val="clear" w:color="000000" w:fill="F2F2F2"/>
            <w:noWrap/>
            <w:vAlign w:val="center"/>
          </w:tcPr>
          <w:p w:rsidR="002F633F" w:rsidRDefault="002F633F">
            <w:pPr>
              <w:jc w:val="right"/>
              <w:rPr>
                <w:rFonts w:ascii="Verdana" w:hAnsi="Verdana"/>
                <w:color w:val="000000"/>
                <w:sz w:val="20"/>
              </w:rPr>
            </w:pPr>
            <w:r>
              <w:rPr>
                <w:rFonts w:ascii="Verdana" w:hAnsi="Verdana"/>
                <w:color w:val="000000"/>
                <w:sz w:val="20"/>
              </w:rPr>
              <w:t>88,128</w:t>
            </w:r>
          </w:p>
        </w:tc>
        <w:tc>
          <w:tcPr>
            <w:tcW w:w="287" w:type="dxa"/>
            <w:tcBorders>
              <w:top w:val="nil"/>
              <w:left w:val="nil"/>
              <w:bottom w:val="nil"/>
              <w:right w:val="nil"/>
            </w:tcBorders>
            <w:shd w:val="clear" w:color="000000" w:fill="F2F2F2"/>
            <w:vAlign w:val="center"/>
            <w:hideMark/>
          </w:tcPr>
          <w:p w:rsidR="002F633F" w:rsidRDefault="002F633F">
            <w:pPr>
              <w:jc w:val="right"/>
              <w:rPr>
                <w:rFonts w:ascii="Verdana" w:hAnsi="Verdana"/>
                <w:color w:val="000000"/>
                <w:sz w:val="20"/>
              </w:rPr>
            </w:pPr>
            <w:r>
              <w:rPr>
                <w:rFonts w:ascii="Verdana" w:hAnsi="Verdana"/>
                <w:color w:val="000000"/>
                <w:sz w:val="20"/>
              </w:rPr>
              <w:t> </w:t>
            </w:r>
          </w:p>
        </w:tc>
        <w:tc>
          <w:tcPr>
            <w:tcW w:w="1418" w:type="dxa"/>
            <w:tcBorders>
              <w:top w:val="nil"/>
              <w:left w:val="nil"/>
              <w:bottom w:val="nil"/>
              <w:right w:val="nil"/>
            </w:tcBorders>
            <w:shd w:val="clear" w:color="000000" w:fill="F2F2F2"/>
            <w:vAlign w:val="center"/>
          </w:tcPr>
          <w:p w:rsidR="002F633F" w:rsidRDefault="002F633F">
            <w:pPr>
              <w:jc w:val="right"/>
              <w:rPr>
                <w:rFonts w:ascii="Verdana" w:hAnsi="Verdana"/>
                <w:color w:val="000000"/>
                <w:sz w:val="20"/>
              </w:rPr>
            </w:pPr>
            <w:r>
              <w:rPr>
                <w:rFonts w:ascii="Verdana" w:hAnsi="Verdana"/>
                <w:color w:val="000000"/>
                <w:sz w:val="20"/>
              </w:rPr>
              <w:t>159,765</w:t>
            </w:r>
          </w:p>
        </w:tc>
      </w:tr>
      <w:tr w:rsidRPr="008B41ED" w:rsidR="002F633F" w:rsidTr="003B0A24">
        <w:trPr>
          <w:trHeight w:val="315"/>
        </w:trPr>
        <w:tc>
          <w:tcPr>
            <w:tcW w:w="6678" w:type="dxa"/>
            <w:tcBorders>
              <w:top w:val="nil"/>
              <w:left w:val="nil"/>
              <w:bottom w:val="nil"/>
              <w:right w:val="nil"/>
            </w:tcBorders>
            <w:shd w:val="clear" w:color="000000" w:fill="F2F2F2"/>
            <w:vAlign w:val="center"/>
            <w:hideMark/>
          </w:tcPr>
          <w:p w:rsidRPr="00321BC0" w:rsidR="002F633F" w:rsidP="00FE2F1E" w:rsidRDefault="002F633F">
            <w:pPr>
              <w:overflowPunct/>
              <w:autoSpaceDE/>
              <w:autoSpaceDN/>
              <w:adjustRightInd/>
              <w:jc w:val="left"/>
              <w:textAlignment w:val="auto"/>
              <w:rPr>
                <w:rFonts w:ascii="Verdana" w:hAnsi="Verdana" w:cs="Calibri"/>
                <w:color w:val="000000"/>
                <w:sz w:val="20"/>
                <w:lang w:eastAsia="en-GB"/>
              </w:rPr>
            </w:pPr>
            <w:r w:rsidRPr="00321BC0">
              <w:rPr>
                <w:rFonts w:ascii="Verdana" w:hAnsi="Verdana" w:cs="Calibri"/>
                <w:color w:val="000000"/>
                <w:sz w:val="20"/>
                <w:lang w:eastAsia="en-GB"/>
              </w:rPr>
              <w:t> </w:t>
            </w:r>
          </w:p>
        </w:tc>
        <w:tc>
          <w:tcPr>
            <w:tcW w:w="1555" w:type="dxa"/>
            <w:tcBorders>
              <w:top w:val="single" w:color="auto" w:sz="4" w:space="0"/>
              <w:left w:val="nil"/>
              <w:bottom w:val="single" w:color="auto" w:sz="8" w:space="0"/>
              <w:right w:val="nil"/>
            </w:tcBorders>
            <w:shd w:val="clear" w:color="000000" w:fill="F2F2F2"/>
            <w:noWrap/>
            <w:vAlign w:val="center"/>
          </w:tcPr>
          <w:p w:rsidR="002F633F" w:rsidRDefault="002F633F">
            <w:pPr>
              <w:jc w:val="right"/>
              <w:rPr>
                <w:rFonts w:ascii="Verdana" w:hAnsi="Verdana"/>
                <w:color w:val="000000"/>
                <w:sz w:val="20"/>
              </w:rPr>
            </w:pPr>
            <w:r>
              <w:rPr>
                <w:rFonts w:ascii="Verdana" w:hAnsi="Verdana"/>
                <w:color w:val="000000"/>
                <w:sz w:val="20"/>
              </w:rPr>
              <w:t>3,156,247</w:t>
            </w:r>
          </w:p>
        </w:tc>
        <w:tc>
          <w:tcPr>
            <w:tcW w:w="287" w:type="dxa"/>
            <w:tcBorders>
              <w:top w:val="nil"/>
              <w:left w:val="nil"/>
              <w:bottom w:val="nil"/>
              <w:right w:val="nil"/>
            </w:tcBorders>
            <w:shd w:val="clear" w:color="000000" w:fill="F2F2F2"/>
            <w:vAlign w:val="center"/>
            <w:hideMark/>
          </w:tcPr>
          <w:p w:rsidR="002F633F" w:rsidRDefault="002F633F">
            <w:pPr>
              <w:jc w:val="right"/>
              <w:rPr>
                <w:rFonts w:ascii="Verdana" w:hAnsi="Verdana"/>
                <w:b/>
                <w:bCs/>
                <w:color w:val="000000"/>
                <w:sz w:val="20"/>
              </w:rPr>
            </w:pPr>
            <w:r>
              <w:rPr>
                <w:rFonts w:ascii="Verdana" w:hAnsi="Verdana"/>
                <w:b/>
                <w:bCs/>
                <w:color w:val="000000"/>
                <w:sz w:val="20"/>
              </w:rPr>
              <w:t> </w:t>
            </w:r>
          </w:p>
        </w:tc>
        <w:tc>
          <w:tcPr>
            <w:tcW w:w="1418" w:type="dxa"/>
            <w:tcBorders>
              <w:top w:val="single" w:color="auto" w:sz="4" w:space="0"/>
              <w:left w:val="nil"/>
              <w:bottom w:val="single" w:color="auto" w:sz="8" w:space="0"/>
              <w:right w:val="nil"/>
            </w:tcBorders>
            <w:shd w:val="clear" w:color="000000" w:fill="F2F2F2"/>
            <w:vAlign w:val="center"/>
          </w:tcPr>
          <w:p w:rsidR="002F633F" w:rsidRDefault="002F633F">
            <w:pPr>
              <w:jc w:val="right"/>
              <w:rPr>
                <w:rFonts w:ascii="Verdana" w:hAnsi="Verdana"/>
                <w:color w:val="000000"/>
                <w:sz w:val="20"/>
              </w:rPr>
            </w:pPr>
            <w:r>
              <w:rPr>
                <w:rFonts w:ascii="Verdana" w:hAnsi="Verdana"/>
                <w:color w:val="000000"/>
                <w:sz w:val="20"/>
              </w:rPr>
              <w:t>1,716,154</w:t>
            </w:r>
          </w:p>
        </w:tc>
      </w:tr>
    </w:tbl>
    <w:p w:rsidRPr="008B41ED" w:rsidR="00FE2F1E" w:rsidP="00FE2F1E" w:rsidRDefault="00FE2F1E">
      <w:pPr>
        <w:rPr>
          <w:highlight w:val="yellow"/>
        </w:rPr>
      </w:pPr>
    </w:p>
    <w:p w:rsidRPr="008B41ED" w:rsidR="00FE2F1E" w:rsidP="00FE2F1E" w:rsidRDefault="00FE2F1E">
      <w:pPr>
        <w:rPr>
          <w:highlight w:val="yellow"/>
        </w:rPr>
      </w:pPr>
    </w:p>
    <w:p w:rsidRPr="008B41ED" w:rsidR="00FE2F1E" w:rsidP="00F9123C" w:rsidRDefault="00FE2F1E">
      <w:pPr>
        <w:pStyle w:val="Heading1"/>
        <w:numPr>
          <w:ilvl w:val="0"/>
          <w:numId w:val="0"/>
        </w:numPr>
        <w:rPr>
          <w:rFonts w:ascii="Verdana" w:hAnsi="Verdana" w:cs="Arial"/>
          <w:sz w:val="26"/>
          <w:szCs w:val="26"/>
          <w:highlight w:val="yellow"/>
        </w:rPr>
      </w:pPr>
    </w:p>
    <w:p w:rsidRPr="00590B27" w:rsidR="00F9123C" w:rsidP="00F9123C" w:rsidRDefault="00F9123C">
      <w:pPr>
        <w:pStyle w:val="Heading1"/>
        <w:numPr>
          <w:ilvl w:val="0"/>
          <w:numId w:val="0"/>
        </w:numPr>
        <w:rPr>
          <w:rFonts w:ascii="Verdana" w:hAnsi="Verdana" w:cs="Arial"/>
        </w:rPr>
      </w:pPr>
      <w:r w:rsidRPr="00590B27">
        <w:rPr>
          <w:rFonts w:ascii="Verdana" w:hAnsi="Verdana" w:cs="Arial"/>
          <w:sz w:val="26"/>
          <w:szCs w:val="26"/>
        </w:rPr>
        <w:t>Notes – continued</w:t>
      </w:r>
    </w:p>
    <w:p w:rsidRPr="00590B27" w:rsidR="00F9123C" w:rsidP="00FC6C10" w:rsidRDefault="00F9123C">
      <w:pPr>
        <w:rPr>
          <w:rFonts w:ascii="Verdana" w:hAnsi="Verdana" w:cs="Arial"/>
          <w:b/>
        </w:rPr>
      </w:pPr>
    </w:p>
    <w:p w:rsidRPr="00590B27" w:rsidR="00757FC4" w:rsidP="00FC6C10" w:rsidRDefault="00224E5D">
      <w:pPr>
        <w:rPr>
          <w:rFonts w:ascii="Verdana" w:hAnsi="Verdana" w:cs="Arial"/>
          <w:b/>
          <w:sz w:val="20"/>
        </w:rPr>
      </w:pPr>
      <w:r w:rsidRPr="00590B27">
        <w:rPr>
          <w:rFonts w:ascii="Verdana" w:hAnsi="Verdana" w:cs="Arial"/>
          <w:b/>
          <w:sz w:val="20"/>
        </w:rPr>
        <w:t>1</w:t>
      </w:r>
      <w:r w:rsidRPr="00590B27" w:rsidR="004C030C">
        <w:rPr>
          <w:rFonts w:ascii="Verdana" w:hAnsi="Verdana" w:cs="Arial"/>
          <w:b/>
          <w:sz w:val="20"/>
        </w:rPr>
        <w:t>1</w:t>
      </w:r>
      <w:r w:rsidRPr="00590B27" w:rsidR="00370090">
        <w:rPr>
          <w:rFonts w:ascii="Verdana" w:hAnsi="Verdana" w:cs="Arial"/>
          <w:b/>
          <w:sz w:val="20"/>
        </w:rPr>
        <w:t>.</w:t>
      </w:r>
      <w:r w:rsidRPr="00590B27" w:rsidR="00ED0D15">
        <w:rPr>
          <w:rFonts w:ascii="Verdana" w:hAnsi="Verdana" w:cs="Arial"/>
          <w:b/>
          <w:sz w:val="20"/>
        </w:rPr>
        <w:t xml:space="preserve"> </w:t>
      </w:r>
      <w:r w:rsidRPr="00590B27" w:rsidR="00591F16">
        <w:rPr>
          <w:rFonts w:ascii="Verdana" w:hAnsi="Verdana" w:cs="Arial"/>
          <w:b/>
          <w:sz w:val="20"/>
        </w:rPr>
        <w:t>Provisions</w:t>
      </w:r>
      <w:r w:rsidRPr="00590B27" w:rsidR="00193997">
        <w:rPr>
          <w:rFonts w:ascii="Verdana" w:hAnsi="Verdana" w:cs="Arial"/>
          <w:b/>
          <w:sz w:val="20"/>
        </w:rPr>
        <w:t xml:space="preserve"> </w:t>
      </w:r>
      <w:r w:rsidRPr="00590B27" w:rsidR="00591F16">
        <w:rPr>
          <w:rFonts w:ascii="Verdana" w:hAnsi="Verdana" w:cs="Arial"/>
          <w:b/>
          <w:sz w:val="20"/>
        </w:rPr>
        <w:t>for Liabilities and Charges</w:t>
      </w:r>
    </w:p>
    <w:p w:rsidRPr="00590B27" w:rsidR="00FE2F1E" w:rsidP="00FC6C10" w:rsidRDefault="00FE2F1E">
      <w:pPr>
        <w:rPr>
          <w:rFonts w:ascii="Verdana" w:hAnsi="Verdana" w:cs="Arial"/>
          <w:sz w:val="20"/>
          <w:lang w:eastAsia="en-GB"/>
        </w:rPr>
      </w:pPr>
    </w:p>
    <w:tbl>
      <w:tblPr>
        <w:tblW w:w="9654" w:type="dxa"/>
        <w:tblInd w:w="93" w:type="dxa"/>
        <w:tblLook w:val="04A0" w:firstRow="1" w:lastRow="0" w:firstColumn="1" w:lastColumn="0" w:noHBand="0" w:noVBand="1"/>
      </w:tblPr>
      <w:tblGrid>
        <w:gridCol w:w="8095"/>
        <w:gridCol w:w="1559"/>
      </w:tblGrid>
      <w:tr w:rsidRPr="00590B27" w:rsidR="00FE2F1E" w:rsidTr="00FE2F1E">
        <w:trPr>
          <w:trHeight w:val="300"/>
        </w:trPr>
        <w:tc>
          <w:tcPr>
            <w:tcW w:w="8095" w:type="dxa"/>
            <w:tcBorders>
              <w:top w:val="nil"/>
              <w:left w:val="nil"/>
              <w:bottom w:val="nil"/>
              <w:right w:val="nil"/>
            </w:tcBorders>
            <w:shd w:val="clear" w:color="000000" w:fill="F2F2F2"/>
            <w:vAlign w:val="center"/>
            <w:hideMark/>
          </w:tcPr>
          <w:p w:rsidRPr="00590B27" w:rsidR="00FE2F1E" w:rsidP="00FE2F1E" w:rsidRDefault="00FE2F1E">
            <w:pPr>
              <w:overflowPunct/>
              <w:autoSpaceDE/>
              <w:autoSpaceDN/>
              <w:adjustRightInd/>
              <w:jc w:val="left"/>
              <w:textAlignment w:val="auto"/>
              <w:rPr>
                <w:rFonts w:ascii="Verdana" w:hAnsi="Verdana" w:cs="Calibri"/>
                <w:color w:val="000000"/>
                <w:sz w:val="20"/>
                <w:lang w:eastAsia="en-GB"/>
              </w:rPr>
            </w:pPr>
            <w:r w:rsidRPr="00590B27">
              <w:rPr>
                <w:rFonts w:ascii="Verdana" w:hAnsi="Verdana" w:cs="Calibri"/>
                <w:color w:val="000000"/>
                <w:sz w:val="20"/>
                <w:lang w:eastAsia="en-GB"/>
              </w:rPr>
              <w:t> </w:t>
            </w:r>
          </w:p>
        </w:tc>
        <w:tc>
          <w:tcPr>
            <w:tcW w:w="1559" w:type="dxa"/>
            <w:tcBorders>
              <w:top w:val="nil"/>
              <w:left w:val="nil"/>
              <w:bottom w:val="nil"/>
              <w:right w:val="nil"/>
            </w:tcBorders>
            <w:shd w:val="clear" w:color="000000" w:fill="F2F2F2"/>
            <w:noWrap/>
            <w:vAlign w:val="center"/>
            <w:hideMark/>
          </w:tcPr>
          <w:p w:rsidRPr="00590B27" w:rsidR="00FE2F1E" w:rsidP="00FE2F1E" w:rsidRDefault="00FE2F1E">
            <w:pPr>
              <w:overflowPunct/>
              <w:autoSpaceDE/>
              <w:autoSpaceDN/>
              <w:adjustRightInd/>
              <w:jc w:val="right"/>
              <w:textAlignment w:val="auto"/>
              <w:rPr>
                <w:rFonts w:ascii="Verdana" w:hAnsi="Verdana" w:cs="Calibri"/>
                <w:color w:val="000000"/>
                <w:sz w:val="20"/>
                <w:lang w:eastAsia="en-GB"/>
              </w:rPr>
            </w:pPr>
            <w:r w:rsidRPr="00590B27">
              <w:rPr>
                <w:rFonts w:ascii="Verdana" w:hAnsi="Verdana" w:cs="Calibri"/>
                <w:color w:val="000000"/>
                <w:sz w:val="20"/>
                <w:lang w:eastAsia="en-GB"/>
              </w:rPr>
              <w:t> </w:t>
            </w:r>
          </w:p>
        </w:tc>
      </w:tr>
      <w:tr w:rsidRPr="00590B27" w:rsidR="00FE2F1E" w:rsidTr="00FE2F1E">
        <w:trPr>
          <w:trHeight w:val="315"/>
        </w:trPr>
        <w:tc>
          <w:tcPr>
            <w:tcW w:w="8095" w:type="dxa"/>
            <w:tcBorders>
              <w:top w:val="nil"/>
              <w:left w:val="nil"/>
              <w:bottom w:val="nil"/>
              <w:right w:val="nil"/>
            </w:tcBorders>
            <w:shd w:val="clear" w:color="000000" w:fill="F2F2F2"/>
            <w:vAlign w:val="center"/>
            <w:hideMark/>
          </w:tcPr>
          <w:p w:rsidRPr="00590B27" w:rsidR="00FE2F1E" w:rsidP="00FE2F1E" w:rsidRDefault="00FE2F1E">
            <w:pPr>
              <w:overflowPunct/>
              <w:autoSpaceDE/>
              <w:autoSpaceDN/>
              <w:adjustRightInd/>
              <w:jc w:val="left"/>
              <w:textAlignment w:val="auto"/>
              <w:rPr>
                <w:rFonts w:ascii="Verdana" w:hAnsi="Verdana" w:cs="Calibri"/>
                <w:color w:val="000000"/>
                <w:sz w:val="20"/>
                <w:lang w:eastAsia="en-GB"/>
              </w:rPr>
            </w:pPr>
            <w:r w:rsidRPr="00590B27">
              <w:rPr>
                <w:rFonts w:ascii="Verdana" w:hAnsi="Verdana" w:cs="Calibri"/>
                <w:color w:val="000000"/>
                <w:sz w:val="20"/>
                <w:lang w:eastAsia="en-GB"/>
              </w:rPr>
              <w:t>At beginning of period</w:t>
            </w:r>
          </w:p>
        </w:tc>
        <w:tc>
          <w:tcPr>
            <w:tcW w:w="1559" w:type="dxa"/>
            <w:tcBorders>
              <w:top w:val="nil"/>
              <w:left w:val="nil"/>
              <w:bottom w:val="nil"/>
              <w:right w:val="nil"/>
            </w:tcBorders>
            <w:shd w:val="clear" w:color="000000" w:fill="F2F2F2"/>
            <w:noWrap/>
            <w:vAlign w:val="center"/>
            <w:hideMark/>
          </w:tcPr>
          <w:p w:rsidRPr="00590B27" w:rsidR="00FE2F1E" w:rsidP="00C93FAA" w:rsidRDefault="00C93FAA">
            <w:pPr>
              <w:overflowPunct/>
              <w:autoSpaceDE/>
              <w:autoSpaceDN/>
              <w:adjustRightInd/>
              <w:jc w:val="right"/>
              <w:textAlignment w:val="auto"/>
              <w:rPr>
                <w:rFonts w:ascii="Verdana" w:hAnsi="Verdana" w:cs="Calibri"/>
                <w:color w:val="000000"/>
                <w:sz w:val="20"/>
                <w:lang w:eastAsia="en-GB"/>
              </w:rPr>
            </w:pPr>
            <w:r>
              <w:rPr>
                <w:rFonts w:ascii="Verdana" w:hAnsi="Verdana" w:cs="Calibri"/>
                <w:color w:val="000000"/>
                <w:sz w:val="20"/>
                <w:lang w:eastAsia="en-GB"/>
              </w:rPr>
              <w:t>2</w:t>
            </w:r>
            <w:r w:rsidRPr="00590B27" w:rsidR="00590B27">
              <w:rPr>
                <w:rFonts w:ascii="Verdana" w:hAnsi="Verdana" w:cs="Calibri"/>
                <w:color w:val="000000"/>
                <w:sz w:val="20"/>
                <w:lang w:eastAsia="en-GB"/>
              </w:rPr>
              <w:t>,</w:t>
            </w:r>
            <w:r>
              <w:rPr>
                <w:rFonts w:ascii="Verdana" w:hAnsi="Verdana" w:cs="Calibri"/>
                <w:color w:val="000000"/>
                <w:sz w:val="20"/>
                <w:lang w:eastAsia="en-GB"/>
              </w:rPr>
              <w:t>297</w:t>
            </w:r>
            <w:r w:rsidRPr="00590B27" w:rsidR="00590B27">
              <w:rPr>
                <w:rFonts w:ascii="Verdana" w:hAnsi="Verdana" w:cs="Calibri"/>
                <w:color w:val="000000"/>
                <w:sz w:val="20"/>
                <w:lang w:eastAsia="en-GB"/>
              </w:rPr>
              <w:t>,</w:t>
            </w:r>
            <w:r>
              <w:rPr>
                <w:rFonts w:ascii="Verdana" w:hAnsi="Verdana" w:cs="Calibri"/>
                <w:color w:val="000000"/>
                <w:sz w:val="20"/>
                <w:lang w:eastAsia="en-GB"/>
              </w:rPr>
              <w:t>852</w:t>
            </w:r>
          </w:p>
        </w:tc>
      </w:tr>
      <w:tr w:rsidRPr="00590B27" w:rsidR="00FE2F1E" w:rsidTr="00FE2F1E">
        <w:trPr>
          <w:trHeight w:val="330"/>
        </w:trPr>
        <w:tc>
          <w:tcPr>
            <w:tcW w:w="8095" w:type="dxa"/>
            <w:tcBorders>
              <w:top w:val="nil"/>
              <w:left w:val="nil"/>
              <w:bottom w:val="nil"/>
              <w:right w:val="nil"/>
            </w:tcBorders>
            <w:shd w:val="clear" w:color="000000" w:fill="F2F2F2"/>
            <w:vAlign w:val="center"/>
            <w:hideMark/>
          </w:tcPr>
          <w:p w:rsidRPr="00590B27" w:rsidR="00FE2F1E" w:rsidP="00C93FAA" w:rsidRDefault="00C93FAA">
            <w:pPr>
              <w:overflowPunct/>
              <w:autoSpaceDE/>
              <w:autoSpaceDN/>
              <w:adjustRightInd/>
              <w:jc w:val="left"/>
              <w:textAlignment w:val="auto"/>
              <w:rPr>
                <w:rFonts w:ascii="Verdana" w:hAnsi="Verdana" w:cs="Calibri"/>
                <w:color w:val="000000"/>
                <w:sz w:val="20"/>
                <w:lang w:eastAsia="en-GB"/>
              </w:rPr>
            </w:pPr>
            <w:r>
              <w:rPr>
                <w:rFonts w:ascii="Verdana" w:hAnsi="Verdana" w:cs="Calibri"/>
                <w:color w:val="000000"/>
                <w:sz w:val="20"/>
                <w:lang w:eastAsia="en-GB"/>
              </w:rPr>
              <w:t>Dec</w:t>
            </w:r>
            <w:r w:rsidRPr="00590B27" w:rsidR="005C44C9">
              <w:rPr>
                <w:rFonts w:ascii="Verdana" w:hAnsi="Verdana" w:cs="Calibri"/>
                <w:color w:val="000000"/>
                <w:sz w:val="20"/>
                <w:lang w:eastAsia="en-GB"/>
              </w:rPr>
              <w:t>rease</w:t>
            </w:r>
            <w:r w:rsidRPr="00590B27" w:rsidR="00FE2F1E">
              <w:rPr>
                <w:rFonts w:ascii="Verdana" w:hAnsi="Verdana" w:cs="Calibri"/>
                <w:color w:val="000000"/>
                <w:sz w:val="20"/>
                <w:lang w:eastAsia="en-GB"/>
              </w:rPr>
              <w:t xml:space="preserve"> during the year</w:t>
            </w:r>
          </w:p>
        </w:tc>
        <w:tc>
          <w:tcPr>
            <w:tcW w:w="1559" w:type="dxa"/>
            <w:tcBorders>
              <w:top w:val="nil"/>
              <w:left w:val="nil"/>
              <w:bottom w:val="nil"/>
              <w:right w:val="nil"/>
            </w:tcBorders>
            <w:shd w:val="clear" w:color="000000" w:fill="F2F2F2"/>
            <w:noWrap/>
            <w:vAlign w:val="center"/>
            <w:hideMark/>
          </w:tcPr>
          <w:p w:rsidRPr="00590B27" w:rsidR="00FE2F1E" w:rsidP="00C93FAA" w:rsidRDefault="00C93FAA">
            <w:pPr>
              <w:overflowPunct/>
              <w:autoSpaceDE/>
              <w:autoSpaceDN/>
              <w:adjustRightInd/>
              <w:jc w:val="right"/>
              <w:textAlignment w:val="auto"/>
              <w:rPr>
                <w:rFonts w:ascii="Verdana" w:hAnsi="Verdana" w:cs="Calibri"/>
                <w:sz w:val="20"/>
                <w:lang w:eastAsia="en-GB"/>
              </w:rPr>
            </w:pPr>
            <w:r>
              <w:rPr>
                <w:rFonts w:ascii="Verdana" w:hAnsi="Verdana" w:cs="Calibri"/>
                <w:sz w:val="20"/>
                <w:lang w:eastAsia="en-GB"/>
              </w:rPr>
              <w:t>(1,405,678)</w:t>
            </w:r>
          </w:p>
        </w:tc>
      </w:tr>
      <w:tr w:rsidRPr="00590B27" w:rsidR="00FE2F1E" w:rsidTr="00FE2F1E">
        <w:trPr>
          <w:trHeight w:val="330"/>
        </w:trPr>
        <w:tc>
          <w:tcPr>
            <w:tcW w:w="8095" w:type="dxa"/>
            <w:tcBorders>
              <w:top w:val="nil"/>
              <w:left w:val="nil"/>
              <w:bottom w:val="nil"/>
              <w:right w:val="nil"/>
            </w:tcBorders>
            <w:shd w:val="clear" w:color="000000" w:fill="F2F2F2"/>
            <w:vAlign w:val="center"/>
            <w:hideMark/>
          </w:tcPr>
          <w:p w:rsidRPr="00590B27" w:rsidR="00FE2F1E" w:rsidP="00FE2F1E" w:rsidRDefault="00FE2F1E">
            <w:pPr>
              <w:overflowPunct/>
              <w:autoSpaceDE/>
              <w:autoSpaceDN/>
              <w:adjustRightInd/>
              <w:jc w:val="left"/>
              <w:textAlignment w:val="auto"/>
              <w:rPr>
                <w:rFonts w:ascii="Verdana" w:hAnsi="Verdana" w:cs="Calibri"/>
                <w:color w:val="000000"/>
                <w:sz w:val="20"/>
                <w:lang w:eastAsia="en-GB"/>
              </w:rPr>
            </w:pPr>
            <w:r w:rsidRPr="00590B27">
              <w:rPr>
                <w:rFonts w:ascii="Verdana" w:hAnsi="Verdana" w:cs="Calibri"/>
                <w:color w:val="000000"/>
                <w:sz w:val="20"/>
                <w:lang w:eastAsia="en-GB"/>
              </w:rPr>
              <w:t>At end of period</w:t>
            </w:r>
          </w:p>
        </w:tc>
        <w:tc>
          <w:tcPr>
            <w:tcW w:w="1559" w:type="dxa"/>
            <w:tcBorders>
              <w:top w:val="single" w:color="auto" w:sz="8" w:space="0"/>
              <w:left w:val="nil"/>
              <w:bottom w:val="single" w:color="auto" w:sz="8" w:space="0"/>
              <w:right w:val="nil"/>
            </w:tcBorders>
            <w:shd w:val="clear" w:color="000000" w:fill="F2F2F2"/>
            <w:noWrap/>
            <w:vAlign w:val="center"/>
            <w:hideMark/>
          </w:tcPr>
          <w:p w:rsidRPr="00590B27" w:rsidR="00FE2F1E" w:rsidP="00C93FAA" w:rsidRDefault="00C93FAA">
            <w:pPr>
              <w:overflowPunct/>
              <w:autoSpaceDE/>
              <w:autoSpaceDN/>
              <w:adjustRightInd/>
              <w:jc w:val="right"/>
              <w:textAlignment w:val="auto"/>
              <w:rPr>
                <w:rFonts w:ascii="Verdana" w:hAnsi="Verdana" w:cs="Calibri"/>
                <w:color w:val="000000"/>
                <w:sz w:val="20"/>
                <w:lang w:eastAsia="en-GB"/>
              </w:rPr>
            </w:pPr>
            <w:r>
              <w:rPr>
                <w:rFonts w:ascii="Verdana" w:hAnsi="Verdana" w:cs="Calibri"/>
                <w:color w:val="000000"/>
                <w:sz w:val="20"/>
                <w:lang w:eastAsia="en-GB"/>
              </w:rPr>
              <w:t>8</w:t>
            </w:r>
            <w:r w:rsidRPr="00590B27" w:rsidR="00590B27">
              <w:rPr>
                <w:rFonts w:ascii="Verdana" w:hAnsi="Verdana" w:cs="Calibri"/>
                <w:color w:val="000000"/>
                <w:sz w:val="20"/>
                <w:lang w:eastAsia="en-GB"/>
              </w:rPr>
              <w:t>9</w:t>
            </w:r>
            <w:r>
              <w:rPr>
                <w:rFonts w:ascii="Verdana" w:hAnsi="Verdana" w:cs="Calibri"/>
                <w:color w:val="000000"/>
                <w:sz w:val="20"/>
                <w:lang w:eastAsia="en-GB"/>
              </w:rPr>
              <w:t>2,174</w:t>
            </w:r>
          </w:p>
        </w:tc>
      </w:tr>
    </w:tbl>
    <w:p w:rsidRPr="00590B27" w:rsidR="00FE2F1E" w:rsidP="00FC6C10" w:rsidRDefault="00FE2F1E">
      <w:pPr>
        <w:rPr>
          <w:rFonts w:ascii="Verdana" w:hAnsi="Verdana" w:cs="Arial"/>
          <w:sz w:val="20"/>
          <w:lang w:eastAsia="en-GB"/>
        </w:rPr>
      </w:pPr>
    </w:p>
    <w:p w:rsidRPr="00590B27" w:rsidR="00FC6C10" w:rsidP="00F70E0A" w:rsidRDefault="00AE42E7">
      <w:pPr>
        <w:ind w:right="369"/>
        <w:rPr>
          <w:rFonts w:ascii="Verdana" w:hAnsi="Verdana" w:cs="Arial"/>
          <w:sz w:val="20"/>
          <w:lang w:eastAsia="en-GB"/>
        </w:rPr>
      </w:pPr>
      <w:r w:rsidRPr="009B21B7">
        <w:rPr>
          <w:rFonts w:ascii="Verdana" w:hAnsi="Verdana" w:cs="Arial"/>
          <w:sz w:val="20"/>
          <w:lang w:eastAsia="en-GB"/>
        </w:rPr>
        <w:t>Provisions</w:t>
      </w:r>
      <w:r w:rsidRPr="009B21B7" w:rsidR="00757FC4">
        <w:rPr>
          <w:rFonts w:ascii="Verdana" w:hAnsi="Verdana" w:cs="Arial"/>
          <w:sz w:val="20"/>
          <w:lang w:eastAsia="en-GB"/>
        </w:rPr>
        <w:t xml:space="preserve"> have</w:t>
      </w:r>
      <w:r w:rsidRPr="009B21B7" w:rsidR="007E4E48">
        <w:rPr>
          <w:rFonts w:ascii="Verdana" w:hAnsi="Verdana" w:cs="Arial"/>
          <w:sz w:val="20"/>
          <w:lang w:eastAsia="en-GB"/>
        </w:rPr>
        <w:t xml:space="preserve"> been </w:t>
      </w:r>
      <w:r w:rsidRPr="009B21B7" w:rsidR="00C93FAA">
        <w:rPr>
          <w:rFonts w:ascii="Verdana" w:hAnsi="Verdana" w:cs="Arial"/>
          <w:sz w:val="20"/>
          <w:lang w:eastAsia="en-GB"/>
        </w:rPr>
        <w:t xml:space="preserve">offset against </w:t>
      </w:r>
      <w:r w:rsidRPr="009B21B7" w:rsidR="00F70E0A">
        <w:rPr>
          <w:rFonts w:ascii="Verdana" w:hAnsi="Verdana" w:cs="Arial"/>
          <w:sz w:val="20"/>
          <w:lang w:eastAsia="en-GB"/>
        </w:rPr>
        <w:t xml:space="preserve">the </w:t>
      </w:r>
      <w:r w:rsidRPr="009B21B7">
        <w:rPr>
          <w:rFonts w:ascii="Verdana" w:hAnsi="Verdana" w:cs="Arial"/>
          <w:sz w:val="20"/>
          <w:lang w:eastAsia="en-GB"/>
        </w:rPr>
        <w:t>on-going business transformation costs</w:t>
      </w:r>
      <w:r w:rsidRPr="009B21B7" w:rsidR="00384109">
        <w:rPr>
          <w:rFonts w:ascii="Verdana" w:hAnsi="Verdana" w:cs="Arial"/>
          <w:sz w:val="20"/>
          <w:lang w:eastAsia="en-GB"/>
        </w:rPr>
        <w:t>.</w:t>
      </w:r>
    </w:p>
    <w:p w:rsidR="00EA67D8" w:rsidP="00FC6C10" w:rsidRDefault="00EA67D8">
      <w:pPr>
        <w:rPr>
          <w:rFonts w:ascii="Verdana" w:hAnsi="Verdana" w:cs="Arial"/>
          <w:sz w:val="20"/>
          <w:highlight w:val="yellow"/>
          <w:lang w:eastAsia="en-GB"/>
        </w:rPr>
      </w:pPr>
    </w:p>
    <w:p w:rsidRPr="008B41ED" w:rsidR="00EA67D8" w:rsidP="00FC6C10" w:rsidRDefault="00EA67D8">
      <w:pPr>
        <w:rPr>
          <w:rFonts w:ascii="Verdana" w:hAnsi="Verdana" w:cs="Arial"/>
          <w:sz w:val="20"/>
          <w:highlight w:val="yellow"/>
          <w:lang w:eastAsia="en-GB"/>
        </w:rPr>
      </w:pPr>
    </w:p>
    <w:p w:rsidRPr="008B41ED" w:rsidR="005E0CFF" w:rsidP="00FC6C10" w:rsidRDefault="005E0CFF">
      <w:pPr>
        <w:rPr>
          <w:sz w:val="20"/>
          <w:highlight w:val="yellow"/>
        </w:rPr>
      </w:pPr>
    </w:p>
    <w:p w:rsidRPr="00590B27" w:rsidR="00E9305A" w:rsidP="00E9305A" w:rsidRDefault="004C030C">
      <w:pPr>
        <w:rPr>
          <w:rFonts w:ascii="Verdana" w:hAnsi="Verdana" w:cs="Arial"/>
          <w:b/>
          <w:sz w:val="20"/>
        </w:rPr>
      </w:pPr>
      <w:bookmarkStart w:name="_13._Reserves" w:id="92"/>
      <w:bookmarkEnd w:id="92"/>
      <w:r w:rsidRPr="00590B27">
        <w:rPr>
          <w:rFonts w:ascii="Verdana" w:hAnsi="Verdana" w:cs="Arial"/>
          <w:b/>
          <w:sz w:val="20"/>
        </w:rPr>
        <w:t>12</w:t>
      </w:r>
      <w:r w:rsidRPr="00590B27" w:rsidR="00ED0D15">
        <w:rPr>
          <w:rFonts w:ascii="Verdana" w:hAnsi="Verdana" w:cs="Arial"/>
          <w:b/>
          <w:sz w:val="20"/>
        </w:rPr>
        <w:t>. Reserves</w:t>
      </w:r>
    </w:p>
    <w:p w:rsidRPr="00590B27" w:rsidR="003E4F8D" w:rsidP="00004C22" w:rsidRDefault="003E4F8D">
      <w:pPr>
        <w:rPr>
          <w:rFonts w:ascii="Verdana" w:hAnsi="Verdana"/>
          <w:b/>
          <w:sz w:val="20"/>
        </w:rPr>
      </w:pPr>
    </w:p>
    <w:tbl>
      <w:tblPr>
        <w:tblW w:w="9654" w:type="dxa"/>
        <w:tblInd w:w="93" w:type="dxa"/>
        <w:tblLook w:val="04A0" w:firstRow="1" w:lastRow="0" w:firstColumn="1" w:lastColumn="0" w:noHBand="0" w:noVBand="1"/>
      </w:tblPr>
      <w:tblGrid>
        <w:gridCol w:w="8095"/>
        <w:gridCol w:w="1559"/>
      </w:tblGrid>
      <w:tr w:rsidRPr="002671BE" w:rsidR="003E4F8D" w:rsidTr="003E4F8D">
        <w:trPr>
          <w:trHeight w:val="300"/>
        </w:trPr>
        <w:tc>
          <w:tcPr>
            <w:tcW w:w="8095" w:type="dxa"/>
            <w:tcBorders>
              <w:top w:val="nil"/>
              <w:left w:val="nil"/>
              <w:bottom w:val="nil"/>
              <w:right w:val="nil"/>
            </w:tcBorders>
            <w:shd w:val="clear" w:color="000000" w:fill="F2F2F2"/>
            <w:vAlign w:val="center"/>
            <w:hideMark/>
          </w:tcPr>
          <w:p w:rsidRPr="002671BE" w:rsidR="003E4F8D" w:rsidP="003E4F8D" w:rsidRDefault="003E4F8D">
            <w:pPr>
              <w:overflowPunct/>
              <w:autoSpaceDE/>
              <w:autoSpaceDN/>
              <w:adjustRightInd/>
              <w:jc w:val="left"/>
              <w:textAlignment w:val="auto"/>
              <w:rPr>
                <w:rFonts w:ascii="Verdana" w:hAnsi="Verdana" w:cs="Calibri"/>
                <w:sz w:val="20"/>
                <w:lang w:eastAsia="en-GB"/>
              </w:rPr>
            </w:pPr>
            <w:r w:rsidRPr="002671BE">
              <w:rPr>
                <w:rFonts w:ascii="Verdana" w:hAnsi="Verdana" w:cs="Calibri"/>
                <w:sz w:val="20"/>
                <w:lang w:eastAsia="en-GB"/>
              </w:rPr>
              <w:t> </w:t>
            </w:r>
          </w:p>
        </w:tc>
        <w:tc>
          <w:tcPr>
            <w:tcW w:w="1559" w:type="dxa"/>
            <w:tcBorders>
              <w:top w:val="nil"/>
              <w:left w:val="nil"/>
              <w:bottom w:val="nil"/>
              <w:right w:val="nil"/>
            </w:tcBorders>
            <w:shd w:val="clear" w:color="000000" w:fill="F2F2F2"/>
            <w:vAlign w:val="center"/>
            <w:hideMark/>
          </w:tcPr>
          <w:p w:rsidRPr="002671BE" w:rsidR="003E4F8D" w:rsidP="003E4F8D" w:rsidRDefault="003E4F8D">
            <w:pPr>
              <w:overflowPunct/>
              <w:autoSpaceDE/>
              <w:autoSpaceDN/>
              <w:adjustRightInd/>
              <w:jc w:val="right"/>
              <w:textAlignment w:val="auto"/>
              <w:rPr>
                <w:rFonts w:ascii="Verdana" w:hAnsi="Verdana" w:cs="Calibri"/>
                <w:b/>
                <w:bCs/>
                <w:sz w:val="20"/>
                <w:lang w:eastAsia="en-GB"/>
              </w:rPr>
            </w:pPr>
            <w:r w:rsidRPr="002671BE">
              <w:rPr>
                <w:rFonts w:ascii="Verdana" w:hAnsi="Verdana" w:cs="Calibri"/>
                <w:b/>
                <w:bCs/>
                <w:sz w:val="20"/>
                <w:lang w:eastAsia="en-GB"/>
              </w:rPr>
              <w:t>£</w:t>
            </w:r>
          </w:p>
        </w:tc>
      </w:tr>
      <w:tr w:rsidRPr="002671BE" w:rsidR="003E4F8D" w:rsidTr="003E4F8D">
        <w:trPr>
          <w:trHeight w:val="300"/>
        </w:trPr>
        <w:tc>
          <w:tcPr>
            <w:tcW w:w="8095" w:type="dxa"/>
            <w:tcBorders>
              <w:top w:val="nil"/>
              <w:left w:val="nil"/>
              <w:bottom w:val="nil"/>
              <w:right w:val="nil"/>
            </w:tcBorders>
            <w:shd w:val="clear" w:color="000000" w:fill="F2F2F2"/>
            <w:vAlign w:val="center"/>
            <w:hideMark/>
          </w:tcPr>
          <w:p w:rsidRPr="002671BE" w:rsidR="003E4F8D" w:rsidP="003E4F8D" w:rsidRDefault="003E4F8D">
            <w:pPr>
              <w:overflowPunct/>
              <w:autoSpaceDE/>
              <w:autoSpaceDN/>
              <w:adjustRightInd/>
              <w:jc w:val="left"/>
              <w:textAlignment w:val="auto"/>
              <w:rPr>
                <w:rFonts w:ascii="Verdana" w:hAnsi="Verdana" w:cs="Calibri"/>
                <w:sz w:val="20"/>
                <w:lang w:eastAsia="en-GB"/>
              </w:rPr>
            </w:pPr>
            <w:r w:rsidRPr="002671BE">
              <w:rPr>
                <w:rFonts w:ascii="Verdana" w:hAnsi="Verdana" w:cs="Calibri"/>
                <w:sz w:val="20"/>
                <w:lang w:eastAsia="en-GB"/>
              </w:rPr>
              <w:t> </w:t>
            </w:r>
          </w:p>
        </w:tc>
        <w:tc>
          <w:tcPr>
            <w:tcW w:w="1559" w:type="dxa"/>
            <w:tcBorders>
              <w:top w:val="nil"/>
              <w:left w:val="nil"/>
              <w:bottom w:val="nil"/>
              <w:right w:val="nil"/>
            </w:tcBorders>
            <w:shd w:val="clear" w:color="000000" w:fill="F2F2F2"/>
            <w:vAlign w:val="center"/>
            <w:hideMark/>
          </w:tcPr>
          <w:p w:rsidRPr="002671BE" w:rsidR="003E4F8D" w:rsidP="003E4F8D" w:rsidRDefault="003E4F8D">
            <w:pPr>
              <w:overflowPunct/>
              <w:autoSpaceDE/>
              <w:autoSpaceDN/>
              <w:adjustRightInd/>
              <w:jc w:val="right"/>
              <w:textAlignment w:val="auto"/>
              <w:rPr>
                <w:rFonts w:ascii="Verdana" w:hAnsi="Verdana" w:cs="Calibri"/>
                <w:sz w:val="20"/>
                <w:lang w:eastAsia="en-GB"/>
              </w:rPr>
            </w:pPr>
            <w:r w:rsidRPr="002671BE">
              <w:rPr>
                <w:rFonts w:ascii="Verdana" w:hAnsi="Verdana" w:cs="Calibri"/>
                <w:sz w:val="20"/>
                <w:lang w:eastAsia="en-GB"/>
              </w:rPr>
              <w:t> </w:t>
            </w:r>
          </w:p>
        </w:tc>
      </w:tr>
      <w:tr w:rsidRPr="002671BE" w:rsidR="009074EE" w:rsidTr="003E4F8D">
        <w:trPr>
          <w:trHeight w:val="300"/>
        </w:trPr>
        <w:tc>
          <w:tcPr>
            <w:tcW w:w="8095" w:type="dxa"/>
            <w:tcBorders>
              <w:top w:val="nil"/>
              <w:left w:val="nil"/>
              <w:bottom w:val="nil"/>
              <w:right w:val="nil"/>
            </w:tcBorders>
            <w:shd w:val="clear" w:color="000000" w:fill="F2F2F2"/>
            <w:vAlign w:val="center"/>
            <w:hideMark/>
          </w:tcPr>
          <w:p w:rsidRPr="002671BE" w:rsidR="009074EE" w:rsidP="003E4F8D" w:rsidRDefault="009074EE">
            <w:pPr>
              <w:overflowPunct/>
              <w:autoSpaceDE/>
              <w:autoSpaceDN/>
              <w:adjustRightInd/>
              <w:jc w:val="left"/>
              <w:textAlignment w:val="auto"/>
              <w:rPr>
                <w:rFonts w:ascii="Verdana" w:hAnsi="Verdana" w:cs="Calibri"/>
                <w:sz w:val="20"/>
                <w:lang w:eastAsia="en-GB"/>
              </w:rPr>
            </w:pPr>
            <w:r w:rsidRPr="002671BE">
              <w:rPr>
                <w:rFonts w:ascii="Verdana" w:hAnsi="Verdana" w:cs="Calibri"/>
                <w:sz w:val="20"/>
                <w:lang w:eastAsia="en-GB"/>
              </w:rPr>
              <w:t>At beginning of period</w:t>
            </w:r>
          </w:p>
        </w:tc>
        <w:tc>
          <w:tcPr>
            <w:tcW w:w="1559" w:type="dxa"/>
            <w:tcBorders>
              <w:top w:val="nil"/>
              <w:left w:val="nil"/>
              <w:bottom w:val="nil"/>
              <w:right w:val="nil"/>
            </w:tcBorders>
            <w:shd w:val="clear" w:color="000000" w:fill="F2F2F2"/>
            <w:vAlign w:val="center"/>
            <w:hideMark/>
          </w:tcPr>
          <w:p w:rsidRPr="002671BE" w:rsidR="009074EE" w:rsidP="00AE42E7" w:rsidRDefault="00AE42E7">
            <w:pPr>
              <w:jc w:val="right"/>
              <w:rPr>
                <w:rFonts w:ascii="Verdana" w:hAnsi="Verdana"/>
                <w:sz w:val="20"/>
              </w:rPr>
            </w:pPr>
            <w:r>
              <w:rPr>
                <w:rFonts w:ascii="Verdana" w:hAnsi="Verdana"/>
                <w:sz w:val="20"/>
              </w:rPr>
              <w:t>3</w:t>
            </w:r>
            <w:r w:rsidRPr="002671BE" w:rsidR="009074EE">
              <w:rPr>
                <w:rFonts w:ascii="Verdana" w:hAnsi="Verdana"/>
                <w:sz w:val="20"/>
              </w:rPr>
              <w:t>,</w:t>
            </w:r>
            <w:r>
              <w:rPr>
                <w:rFonts w:ascii="Verdana" w:hAnsi="Verdana"/>
                <w:sz w:val="20"/>
              </w:rPr>
              <w:t>960</w:t>
            </w:r>
            <w:r w:rsidRPr="002671BE" w:rsidR="009074EE">
              <w:rPr>
                <w:rFonts w:ascii="Verdana" w:hAnsi="Verdana"/>
                <w:sz w:val="20"/>
              </w:rPr>
              <w:t>,</w:t>
            </w:r>
            <w:r>
              <w:rPr>
                <w:rFonts w:ascii="Verdana" w:hAnsi="Verdana"/>
                <w:sz w:val="20"/>
              </w:rPr>
              <w:t>555</w:t>
            </w:r>
          </w:p>
        </w:tc>
      </w:tr>
      <w:tr w:rsidRPr="002671BE" w:rsidR="009074EE" w:rsidTr="003E4F8D">
        <w:trPr>
          <w:trHeight w:val="300"/>
        </w:trPr>
        <w:tc>
          <w:tcPr>
            <w:tcW w:w="8095" w:type="dxa"/>
            <w:tcBorders>
              <w:top w:val="nil"/>
              <w:left w:val="nil"/>
              <w:bottom w:val="nil"/>
              <w:right w:val="nil"/>
            </w:tcBorders>
            <w:shd w:val="clear" w:color="000000" w:fill="F2F2F2"/>
            <w:vAlign w:val="center"/>
            <w:hideMark/>
          </w:tcPr>
          <w:p w:rsidRPr="002671BE" w:rsidR="009074EE" w:rsidP="003E4F8D" w:rsidRDefault="009074EE">
            <w:pPr>
              <w:overflowPunct/>
              <w:autoSpaceDE/>
              <w:autoSpaceDN/>
              <w:adjustRightInd/>
              <w:jc w:val="left"/>
              <w:textAlignment w:val="auto"/>
              <w:rPr>
                <w:rFonts w:ascii="Verdana" w:hAnsi="Verdana" w:cs="Calibri"/>
                <w:sz w:val="20"/>
                <w:lang w:eastAsia="en-GB"/>
              </w:rPr>
            </w:pPr>
            <w:r w:rsidRPr="002671BE">
              <w:rPr>
                <w:rFonts w:ascii="Verdana" w:hAnsi="Verdana" w:cs="Calibri"/>
                <w:sz w:val="20"/>
                <w:lang w:eastAsia="en-GB"/>
              </w:rPr>
              <w:t>Loss for the period</w:t>
            </w:r>
          </w:p>
        </w:tc>
        <w:tc>
          <w:tcPr>
            <w:tcW w:w="1559" w:type="dxa"/>
            <w:tcBorders>
              <w:top w:val="nil"/>
              <w:left w:val="nil"/>
              <w:bottom w:val="nil"/>
              <w:right w:val="nil"/>
            </w:tcBorders>
            <w:shd w:val="clear" w:color="000000" w:fill="F2F2F2"/>
            <w:vAlign w:val="center"/>
            <w:hideMark/>
          </w:tcPr>
          <w:p w:rsidRPr="002671BE" w:rsidR="009074EE" w:rsidP="00D24232" w:rsidRDefault="002671BE">
            <w:pPr>
              <w:jc w:val="right"/>
              <w:rPr>
                <w:rFonts w:ascii="Verdana" w:hAnsi="Verdana"/>
                <w:sz w:val="20"/>
              </w:rPr>
            </w:pPr>
            <w:r w:rsidRPr="002671BE">
              <w:rPr>
                <w:rFonts w:ascii="Verdana" w:hAnsi="Verdana"/>
                <w:sz w:val="20"/>
              </w:rPr>
              <w:t>(</w:t>
            </w:r>
            <w:r w:rsidRPr="002671BE" w:rsidR="009074EE">
              <w:rPr>
                <w:rFonts w:ascii="Verdana" w:hAnsi="Verdana" w:cs="Calibri"/>
                <w:sz w:val="20"/>
                <w:lang w:eastAsia="en-GB"/>
              </w:rPr>
              <w:t>7</w:t>
            </w:r>
            <w:r w:rsidR="00AE42E7">
              <w:rPr>
                <w:rFonts w:ascii="Verdana" w:hAnsi="Verdana" w:cs="Calibri"/>
                <w:sz w:val="20"/>
                <w:lang w:eastAsia="en-GB"/>
              </w:rPr>
              <w:t>39</w:t>
            </w:r>
            <w:r w:rsidRPr="002671BE" w:rsidR="009074EE">
              <w:rPr>
                <w:rFonts w:ascii="Verdana" w:hAnsi="Verdana" w:cs="Calibri"/>
                <w:sz w:val="20"/>
                <w:lang w:eastAsia="en-GB"/>
              </w:rPr>
              <w:t>,</w:t>
            </w:r>
            <w:r w:rsidR="00D24232">
              <w:rPr>
                <w:rFonts w:ascii="Verdana" w:hAnsi="Verdana" w:cs="Calibri"/>
                <w:sz w:val="20"/>
                <w:lang w:eastAsia="en-GB"/>
              </w:rPr>
              <w:t>09</w:t>
            </w:r>
            <w:r w:rsidR="00FC77BD">
              <w:rPr>
                <w:rFonts w:ascii="Verdana" w:hAnsi="Verdana" w:cs="Calibri"/>
                <w:sz w:val="20"/>
                <w:lang w:eastAsia="en-GB"/>
              </w:rPr>
              <w:t>0</w:t>
            </w:r>
            <w:r w:rsidRPr="002671BE">
              <w:rPr>
                <w:rFonts w:ascii="Verdana" w:hAnsi="Verdana" w:cs="Calibri"/>
                <w:sz w:val="20"/>
                <w:lang w:eastAsia="en-GB"/>
              </w:rPr>
              <w:t>)</w:t>
            </w:r>
          </w:p>
        </w:tc>
      </w:tr>
      <w:tr w:rsidRPr="002671BE" w:rsidR="009074EE" w:rsidTr="003E4F8D">
        <w:trPr>
          <w:trHeight w:val="315"/>
        </w:trPr>
        <w:tc>
          <w:tcPr>
            <w:tcW w:w="8095" w:type="dxa"/>
            <w:tcBorders>
              <w:top w:val="nil"/>
              <w:left w:val="nil"/>
              <w:bottom w:val="nil"/>
              <w:right w:val="nil"/>
            </w:tcBorders>
            <w:shd w:val="clear" w:color="000000" w:fill="F2F2F2"/>
            <w:vAlign w:val="center"/>
            <w:hideMark/>
          </w:tcPr>
          <w:p w:rsidRPr="002671BE" w:rsidR="009074EE" w:rsidP="003E4F8D" w:rsidRDefault="009074EE">
            <w:pPr>
              <w:overflowPunct/>
              <w:autoSpaceDE/>
              <w:autoSpaceDN/>
              <w:adjustRightInd/>
              <w:jc w:val="left"/>
              <w:textAlignment w:val="auto"/>
              <w:rPr>
                <w:rFonts w:ascii="Verdana" w:hAnsi="Verdana" w:cs="Calibri"/>
                <w:sz w:val="20"/>
                <w:lang w:eastAsia="en-GB"/>
              </w:rPr>
            </w:pPr>
            <w:r w:rsidRPr="002671BE">
              <w:rPr>
                <w:rFonts w:ascii="Verdana" w:hAnsi="Verdana" w:cs="Calibri"/>
                <w:sz w:val="20"/>
                <w:lang w:eastAsia="en-GB"/>
              </w:rPr>
              <w:t>At end of period</w:t>
            </w:r>
          </w:p>
        </w:tc>
        <w:tc>
          <w:tcPr>
            <w:tcW w:w="1559" w:type="dxa"/>
            <w:tcBorders>
              <w:top w:val="single" w:color="auto" w:sz="4" w:space="0"/>
              <w:left w:val="nil"/>
              <w:bottom w:val="single" w:color="auto" w:sz="8" w:space="0"/>
              <w:right w:val="nil"/>
            </w:tcBorders>
            <w:shd w:val="clear" w:color="000000" w:fill="F2F2F2"/>
            <w:vAlign w:val="center"/>
            <w:hideMark/>
          </w:tcPr>
          <w:p w:rsidRPr="002671BE" w:rsidR="009074EE" w:rsidP="00280952" w:rsidRDefault="009074EE">
            <w:pPr>
              <w:jc w:val="right"/>
              <w:rPr>
                <w:rFonts w:ascii="Verdana" w:hAnsi="Verdana"/>
                <w:sz w:val="20"/>
              </w:rPr>
            </w:pPr>
            <w:r w:rsidRPr="002671BE">
              <w:rPr>
                <w:rFonts w:ascii="Verdana" w:hAnsi="Verdana"/>
                <w:sz w:val="20"/>
              </w:rPr>
              <w:t>3,</w:t>
            </w:r>
            <w:r w:rsidR="00FC77BD">
              <w:rPr>
                <w:rFonts w:ascii="Verdana" w:hAnsi="Verdana"/>
                <w:sz w:val="20"/>
              </w:rPr>
              <w:t>221</w:t>
            </w:r>
            <w:r w:rsidRPr="002671BE">
              <w:rPr>
                <w:rFonts w:ascii="Verdana" w:hAnsi="Verdana"/>
                <w:sz w:val="20"/>
              </w:rPr>
              <w:t>,</w:t>
            </w:r>
            <w:r w:rsidR="00FC77BD">
              <w:rPr>
                <w:rFonts w:ascii="Verdana" w:hAnsi="Verdana"/>
                <w:sz w:val="20"/>
              </w:rPr>
              <w:t>46</w:t>
            </w:r>
            <w:r w:rsidR="00280952">
              <w:rPr>
                <w:rFonts w:ascii="Verdana" w:hAnsi="Verdana"/>
                <w:sz w:val="20"/>
              </w:rPr>
              <w:t>5</w:t>
            </w:r>
          </w:p>
        </w:tc>
      </w:tr>
    </w:tbl>
    <w:p w:rsidRPr="00924DC2" w:rsidR="00004C22" w:rsidP="00004C22" w:rsidRDefault="00004C22">
      <w:pPr>
        <w:rPr>
          <w:rFonts w:ascii="Verdana" w:hAnsi="Verdana" w:cs="Arial"/>
          <w:b/>
        </w:rPr>
      </w:pPr>
      <w:r w:rsidRPr="008B41ED">
        <w:rPr>
          <w:rFonts w:ascii="Verdana" w:hAnsi="Verdana"/>
          <w:b/>
          <w:sz w:val="20"/>
          <w:highlight w:val="yellow"/>
        </w:rPr>
        <w:br w:type="page"/>
      </w:r>
      <w:r w:rsidRPr="00924DC2">
        <w:rPr>
          <w:rFonts w:ascii="Verdana" w:hAnsi="Verdana" w:cs="Arial"/>
          <w:b/>
          <w:sz w:val="26"/>
          <w:szCs w:val="26"/>
        </w:rPr>
        <w:t>Notes – continued</w:t>
      </w:r>
    </w:p>
    <w:p w:rsidRPr="00924DC2" w:rsidR="00004C22" w:rsidP="00740AE3" w:rsidRDefault="00004C22">
      <w:pPr>
        <w:rPr>
          <w:rFonts w:ascii="Verdana" w:hAnsi="Verdana"/>
          <w:b/>
          <w:sz w:val="20"/>
        </w:rPr>
      </w:pPr>
    </w:p>
    <w:p w:rsidRPr="00924DC2" w:rsidR="00740AE3" w:rsidP="00740AE3" w:rsidRDefault="004C030C">
      <w:pPr>
        <w:rPr>
          <w:rFonts w:ascii="Verdana" w:hAnsi="Verdana"/>
          <w:b/>
          <w:sz w:val="20"/>
        </w:rPr>
      </w:pPr>
      <w:r w:rsidRPr="00924DC2">
        <w:rPr>
          <w:rFonts w:ascii="Verdana" w:hAnsi="Verdana"/>
          <w:b/>
          <w:sz w:val="20"/>
        </w:rPr>
        <w:t>13</w:t>
      </w:r>
      <w:r w:rsidRPr="00924DC2" w:rsidR="00740AE3">
        <w:rPr>
          <w:rFonts w:ascii="Verdana" w:hAnsi="Verdana"/>
          <w:b/>
          <w:sz w:val="20"/>
        </w:rPr>
        <w:t>. Pension Scheme</w:t>
      </w:r>
    </w:p>
    <w:p w:rsidRPr="00924DC2" w:rsidR="004867D5" w:rsidP="00740AE3" w:rsidRDefault="004867D5">
      <w:pPr>
        <w:rPr>
          <w:rFonts w:ascii="Verdana" w:hAnsi="Verdana"/>
          <w:b/>
          <w:sz w:val="20"/>
        </w:rPr>
      </w:pPr>
    </w:p>
    <w:p w:rsidRPr="00924DC2" w:rsidR="00740AE3" w:rsidP="00740AE3" w:rsidRDefault="00740AE3">
      <w:pPr>
        <w:rPr>
          <w:rFonts w:ascii="Verdana" w:hAnsi="Verdana"/>
          <w:b/>
          <w:sz w:val="20"/>
        </w:rPr>
      </w:pPr>
      <w:r w:rsidRPr="00924DC2">
        <w:rPr>
          <w:rFonts w:ascii="Verdana" w:hAnsi="Verdana"/>
          <w:b/>
          <w:sz w:val="20"/>
        </w:rPr>
        <w:t>A. Introduction</w:t>
      </w:r>
    </w:p>
    <w:p w:rsidRPr="009766C0" w:rsidR="00740AE3" w:rsidP="00740AE3" w:rsidRDefault="00740AE3">
      <w:pPr>
        <w:pStyle w:val="ACNotesText"/>
        <w:rPr>
          <w:rFonts w:ascii="Verdana" w:hAnsi="Verdana" w:cs="Arial"/>
        </w:rPr>
      </w:pPr>
      <w:r w:rsidRPr="009766C0">
        <w:rPr>
          <w:rFonts w:ascii="Verdana" w:hAnsi="Verdana" w:cs="Arial"/>
        </w:rPr>
        <w:t xml:space="preserve">The Company participates in the London </w:t>
      </w:r>
      <w:r w:rsidRPr="009766C0" w:rsidR="00322C0E">
        <w:rPr>
          <w:rFonts w:ascii="Verdana" w:hAnsi="Verdana" w:cs="Arial"/>
        </w:rPr>
        <w:t>Borough of Tower Hamlets</w:t>
      </w:r>
      <w:r w:rsidRPr="009766C0">
        <w:rPr>
          <w:rFonts w:ascii="Verdana" w:hAnsi="Verdana" w:cs="Arial"/>
        </w:rPr>
        <w:t xml:space="preserve"> Pension Fund.  The pension cost charge for the period for current service costs </w:t>
      </w:r>
      <w:r w:rsidRPr="009766C0" w:rsidR="00D52DF1">
        <w:rPr>
          <w:rFonts w:ascii="Verdana" w:hAnsi="Verdana" w:cs="Arial"/>
        </w:rPr>
        <w:t>amounted to £</w:t>
      </w:r>
      <w:r w:rsidR="009B21B7">
        <w:rPr>
          <w:rFonts w:ascii="Verdana" w:hAnsi="Verdana" w:cs="Arial"/>
        </w:rPr>
        <w:t>4</w:t>
      </w:r>
      <w:r w:rsidRPr="009766C0" w:rsidR="00315806">
        <w:rPr>
          <w:rFonts w:ascii="Verdana" w:hAnsi="Verdana" w:cs="Arial"/>
        </w:rPr>
        <w:t>,</w:t>
      </w:r>
      <w:r w:rsidR="009B21B7">
        <w:rPr>
          <w:rFonts w:ascii="Verdana" w:hAnsi="Verdana" w:cs="Arial"/>
        </w:rPr>
        <w:t>736</w:t>
      </w:r>
      <w:r w:rsidRPr="009766C0" w:rsidR="00315806">
        <w:rPr>
          <w:rFonts w:ascii="Verdana" w:hAnsi="Verdana" w:cs="Arial"/>
        </w:rPr>
        <w:t>,000</w:t>
      </w:r>
      <w:r w:rsidRPr="009766C0" w:rsidR="003E4F8D">
        <w:rPr>
          <w:rFonts w:ascii="Verdana" w:hAnsi="Verdana" w:cs="Arial"/>
        </w:rPr>
        <w:t xml:space="preserve"> (201</w:t>
      </w:r>
      <w:r w:rsidR="00733A86">
        <w:rPr>
          <w:rFonts w:ascii="Verdana" w:hAnsi="Verdana" w:cs="Arial"/>
        </w:rPr>
        <w:t>6</w:t>
      </w:r>
      <w:r w:rsidRPr="009766C0" w:rsidR="003E4F8D">
        <w:rPr>
          <w:rFonts w:ascii="Verdana" w:hAnsi="Verdana" w:cs="Arial"/>
        </w:rPr>
        <w:t>-1</w:t>
      </w:r>
      <w:r w:rsidR="00733A86">
        <w:rPr>
          <w:rFonts w:ascii="Verdana" w:hAnsi="Verdana" w:cs="Arial"/>
        </w:rPr>
        <w:t>7</w:t>
      </w:r>
      <w:r w:rsidRPr="009766C0">
        <w:rPr>
          <w:rFonts w:ascii="Verdana" w:hAnsi="Verdana" w:cs="Arial"/>
        </w:rPr>
        <w:t>: £</w:t>
      </w:r>
      <w:r w:rsidRPr="009766C0" w:rsidR="009766C0">
        <w:rPr>
          <w:rFonts w:ascii="Verdana" w:hAnsi="Verdana" w:cs="Arial"/>
        </w:rPr>
        <w:t>3,3</w:t>
      </w:r>
      <w:r w:rsidR="00733A86">
        <w:rPr>
          <w:rFonts w:ascii="Verdana" w:hAnsi="Verdana" w:cs="Arial"/>
        </w:rPr>
        <w:t>60</w:t>
      </w:r>
      <w:r w:rsidRPr="009766C0" w:rsidR="00315806">
        <w:rPr>
          <w:rFonts w:ascii="Verdana" w:hAnsi="Verdana" w:cs="Arial"/>
        </w:rPr>
        <w:t>,000</w:t>
      </w:r>
      <w:r w:rsidRPr="009766C0">
        <w:rPr>
          <w:rFonts w:ascii="Verdana" w:hAnsi="Verdana" w:cs="Arial"/>
        </w:rPr>
        <w:t>).</w:t>
      </w:r>
    </w:p>
    <w:p w:rsidRPr="008B41ED" w:rsidR="00740AE3" w:rsidP="00740AE3" w:rsidRDefault="00740AE3">
      <w:pPr>
        <w:pStyle w:val="ACNotesText"/>
        <w:rPr>
          <w:rFonts w:ascii="Verdana" w:hAnsi="Verdana" w:cs="Arial"/>
          <w:highlight w:val="yellow"/>
        </w:rPr>
      </w:pPr>
      <w:r w:rsidRPr="00924DC2">
        <w:rPr>
          <w:rFonts w:ascii="Verdana" w:hAnsi="Verdana" w:cs="Arial"/>
        </w:rPr>
        <w:t xml:space="preserve">There were no outstanding or prepaid contributions at either the beginning or end of the </w:t>
      </w:r>
      <w:r w:rsidRPr="009766C0">
        <w:rPr>
          <w:rFonts w:ascii="Verdana" w:hAnsi="Verdana" w:cs="Arial"/>
        </w:rPr>
        <w:t xml:space="preserve">financial period.  </w:t>
      </w:r>
    </w:p>
    <w:p w:rsidRPr="00924DC2" w:rsidR="00740AE3" w:rsidP="00740AE3" w:rsidRDefault="00740AE3">
      <w:pPr>
        <w:pStyle w:val="ACNotesText"/>
        <w:rPr>
          <w:rFonts w:ascii="Verdana" w:hAnsi="Verdana" w:cs="Arial"/>
        </w:rPr>
      </w:pPr>
      <w:r w:rsidRPr="00924DC2">
        <w:rPr>
          <w:rFonts w:ascii="Verdana" w:hAnsi="Verdana" w:cs="Arial"/>
        </w:rPr>
        <w:t xml:space="preserve">The pension scheme provides benefits based on final </w:t>
      </w:r>
      <w:r w:rsidRPr="00924DC2" w:rsidR="00315806">
        <w:rPr>
          <w:rFonts w:ascii="Verdana" w:hAnsi="Verdana" w:cs="Arial"/>
        </w:rPr>
        <w:t xml:space="preserve">or average </w:t>
      </w:r>
      <w:r w:rsidRPr="00924DC2">
        <w:rPr>
          <w:rFonts w:ascii="Verdana" w:hAnsi="Verdana" w:cs="Arial"/>
        </w:rPr>
        <w:t>pensionable pay, contributions being charged to the profit and loss account so as to spread the cost of pensions over employees’ working lives with the Company. The contributions are determined by a qualified actuary. The most recen</w:t>
      </w:r>
      <w:r w:rsidRPr="00924DC2" w:rsidR="00E17BF5">
        <w:rPr>
          <w:rFonts w:ascii="Verdana" w:hAnsi="Verdana" w:cs="Arial"/>
        </w:rPr>
        <w:t xml:space="preserve">t valuation was at </w:t>
      </w:r>
      <w:r w:rsidRPr="0018277D" w:rsidR="00E17BF5">
        <w:rPr>
          <w:rFonts w:ascii="Verdana" w:hAnsi="Verdana" w:cs="Arial"/>
        </w:rPr>
        <w:t>31 Ma</w:t>
      </w:r>
      <w:r w:rsidRPr="0018277D" w:rsidR="00315806">
        <w:rPr>
          <w:rFonts w:ascii="Verdana" w:hAnsi="Verdana" w:cs="Arial"/>
        </w:rPr>
        <w:t>rch 201</w:t>
      </w:r>
      <w:r w:rsidRPr="0018277D" w:rsidR="0018277D">
        <w:rPr>
          <w:rFonts w:ascii="Verdana" w:hAnsi="Verdana" w:cs="Arial"/>
        </w:rPr>
        <w:t>8</w:t>
      </w:r>
      <w:r w:rsidRPr="00924DC2">
        <w:rPr>
          <w:rFonts w:ascii="Verdana" w:hAnsi="Verdana" w:cs="Arial"/>
        </w:rPr>
        <w:t>.</w:t>
      </w:r>
    </w:p>
    <w:p w:rsidRPr="00924DC2" w:rsidR="008D19E8" w:rsidP="00740AE3" w:rsidRDefault="008D19E8">
      <w:pPr>
        <w:pStyle w:val="ACNotesText"/>
        <w:rPr>
          <w:rFonts w:ascii="Verdana" w:hAnsi="Verdana"/>
        </w:rPr>
      </w:pPr>
      <w:r w:rsidRPr="00924DC2">
        <w:rPr>
          <w:rFonts w:ascii="Verdana" w:hAnsi="Verdana"/>
        </w:rPr>
        <w:t xml:space="preserve">The Company recognises the entirety of </w:t>
      </w:r>
      <w:r w:rsidRPr="00924DC2" w:rsidR="00E435E6">
        <w:rPr>
          <w:rFonts w:ascii="Verdana" w:hAnsi="Verdana"/>
        </w:rPr>
        <w:t xml:space="preserve">its </w:t>
      </w:r>
      <w:r w:rsidRPr="00924DC2">
        <w:rPr>
          <w:rFonts w:ascii="Verdana" w:hAnsi="Verdana"/>
        </w:rPr>
        <w:t xml:space="preserve">pension scheme rights and obligations on its </w:t>
      </w:r>
      <w:r w:rsidRPr="00924DC2" w:rsidR="00E435E6">
        <w:rPr>
          <w:rFonts w:ascii="Verdana" w:hAnsi="Verdana"/>
        </w:rPr>
        <w:t xml:space="preserve">own </w:t>
      </w:r>
      <w:r w:rsidRPr="00924DC2">
        <w:rPr>
          <w:rFonts w:ascii="Verdana" w:hAnsi="Verdana"/>
        </w:rPr>
        <w:t xml:space="preserve">books, rather than </w:t>
      </w:r>
      <w:r w:rsidRPr="00924DC2" w:rsidR="004867D5">
        <w:rPr>
          <w:rFonts w:ascii="Verdana" w:hAnsi="Verdana"/>
        </w:rPr>
        <w:t>only those rights and obligations that have</w:t>
      </w:r>
      <w:r w:rsidRPr="00924DC2">
        <w:rPr>
          <w:rFonts w:ascii="Verdana" w:hAnsi="Verdana"/>
        </w:rPr>
        <w:t xml:space="preserve"> arisen since the transfer </w:t>
      </w:r>
      <w:r w:rsidRPr="00924DC2" w:rsidR="00E435E6">
        <w:rPr>
          <w:rFonts w:ascii="Verdana" w:hAnsi="Verdana"/>
        </w:rPr>
        <w:t xml:space="preserve">of staff </w:t>
      </w:r>
      <w:r w:rsidRPr="00924DC2">
        <w:rPr>
          <w:rFonts w:ascii="Verdana" w:hAnsi="Verdana"/>
        </w:rPr>
        <w:t>to the ALMO</w:t>
      </w:r>
      <w:r w:rsidRPr="00924DC2" w:rsidR="003E4F8D">
        <w:rPr>
          <w:rFonts w:ascii="Verdana" w:hAnsi="Verdana"/>
        </w:rPr>
        <w:t>.</w:t>
      </w:r>
    </w:p>
    <w:p w:rsidRPr="009766C0" w:rsidR="00E435E6" w:rsidP="00740AE3" w:rsidRDefault="00E435E6">
      <w:pPr>
        <w:pStyle w:val="ACNotesText"/>
        <w:rPr>
          <w:rFonts w:ascii="Verdana" w:hAnsi="Verdana" w:cs="Arial"/>
        </w:rPr>
      </w:pPr>
      <w:r w:rsidRPr="009766C0">
        <w:rPr>
          <w:rFonts w:ascii="Verdana" w:hAnsi="Verdana" w:cs="Arial"/>
        </w:rPr>
        <w:t xml:space="preserve">However, where a pension scheme deficit arises, an equivalent reimbursement right asset is recognised on the balance sheet to reflect the Council indemnity. </w:t>
      </w:r>
      <w:r w:rsidRPr="009766C0" w:rsidR="00D63055">
        <w:rPr>
          <w:rFonts w:ascii="Verdana" w:hAnsi="Verdana" w:cs="Arial"/>
        </w:rPr>
        <w:t>This</w:t>
      </w:r>
      <w:r w:rsidRPr="009766C0">
        <w:rPr>
          <w:rFonts w:ascii="Verdana" w:hAnsi="Verdana" w:cs="Arial"/>
        </w:rPr>
        <w:t xml:space="preserve"> reimbursement right asset is further explained above in Note 1.</w:t>
      </w:r>
    </w:p>
    <w:p w:rsidRPr="00924DC2" w:rsidR="00740AE3" w:rsidP="00740AE3" w:rsidRDefault="00740AE3">
      <w:pPr>
        <w:pStyle w:val="ACText"/>
        <w:rPr>
          <w:rFonts w:ascii="Verdana" w:hAnsi="Verdana" w:cs="Arial"/>
          <w:b/>
        </w:rPr>
      </w:pPr>
      <w:r w:rsidRPr="009766C0">
        <w:rPr>
          <w:rFonts w:ascii="Verdana" w:hAnsi="Verdana" w:cs="Arial"/>
          <w:b/>
        </w:rPr>
        <w:t>B. Retirement Benefits</w:t>
      </w:r>
    </w:p>
    <w:p w:rsidRPr="00924DC2" w:rsidR="00047A08" w:rsidP="00047A08" w:rsidRDefault="00E17BF5">
      <w:pPr>
        <w:pStyle w:val="ACNotesText"/>
        <w:rPr>
          <w:rFonts w:ascii="Verdana" w:hAnsi="Verdana" w:cs="Arial"/>
        </w:rPr>
      </w:pPr>
      <w:r w:rsidRPr="00924DC2">
        <w:rPr>
          <w:rFonts w:ascii="Verdana" w:hAnsi="Verdana" w:cs="Arial"/>
        </w:rPr>
        <w:t xml:space="preserve">Under the requirements of </w:t>
      </w:r>
      <w:r w:rsidRPr="00924DC2" w:rsidR="00283CF3">
        <w:rPr>
          <w:rFonts w:ascii="Verdana" w:hAnsi="Verdana" w:cs="Arial"/>
        </w:rPr>
        <w:t>FRS17</w:t>
      </w:r>
      <w:r w:rsidRPr="00924DC2" w:rsidR="00740AE3">
        <w:rPr>
          <w:rFonts w:ascii="Verdana" w:hAnsi="Verdana" w:cs="Arial"/>
        </w:rPr>
        <w:t xml:space="preserve"> the Company is required to disclose further information on the assets and liabilities of the scheme on a market value basis at the end of the accounting period.</w:t>
      </w:r>
    </w:p>
    <w:p w:rsidRPr="00924DC2" w:rsidR="008F7B71" w:rsidP="00201D0C" w:rsidRDefault="008D19E8">
      <w:pPr>
        <w:pStyle w:val="ACNotesText"/>
        <w:rPr>
          <w:rFonts w:ascii="Verdana" w:hAnsi="Verdana"/>
        </w:rPr>
      </w:pPr>
      <w:r w:rsidRPr="00924DC2">
        <w:rPr>
          <w:rFonts w:ascii="Verdana" w:hAnsi="Verdana"/>
        </w:rPr>
        <w:t>T</w:t>
      </w:r>
      <w:r w:rsidRPr="00924DC2" w:rsidR="00740AE3">
        <w:rPr>
          <w:rFonts w:ascii="Verdana" w:hAnsi="Verdana"/>
        </w:rPr>
        <w:t xml:space="preserve">he </w:t>
      </w:r>
      <w:r w:rsidRPr="00924DC2" w:rsidR="008F7B71">
        <w:rPr>
          <w:rFonts w:ascii="Verdana" w:hAnsi="Verdana"/>
        </w:rPr>
        <w:t xml:space="preserve">required </w:t>
      </w:r>
      <w:r w:rsidRPr="00924DC2" w:rsidR="00740AE3">
        <w:rPr>
          <w:rFonts w:ascii="Verdana" w:hAnsi="Verdana"/>
        </w:rPr>
        <w:t>information is set out below:</w:t>
      </w:r>
    </w:p>
    <w:p w:rsidRPr="001B5DC3" w:rsidR="00FA64BE" w:rsidP="00FA64BE" w:rsidRDefault="00FA64BE">
      <w:pPr>
        <w:pStyle w:val="ACText"/>
        <w:tabs>
          <w:tab w:val="clear" w:pos="0"/>
          <w:tab w:val="left" w:pos="-3969"/>
        </w:tabs>
        <w:rPr>
          <w:rFonts w:ascii="Verdana" w:hAnsi="Verdana"/>
          <w:b/>
          <w:bCs/>
          <w:color w:val="000000"/>
          <w:lang w:eastAsia="en-GB"/>
        </w:rPr>
      </w:pPr>
      <w:r w:rsidRPr="001B5DC3">
        <w:rPr>
          <w:rFonts w:ascii="Verdana" w:hAnsi="Verdana"/>
          <w:b/>
          <w:bCs/>
          <w:color w:val="000000"/>
          <w:lang w:eastAsia="en-GB"/>
        </w:rPr>
        <w:t>Financial Assumptions</w:t>
      </w:r>
    </w:p>
    <w:tbl>
      <w:tblPr>
        <w:tblW w:w="8379" w:type="dxa"/>
        <w:tblInd w:w="93" w:type="dxa"/>
        <w:tblLook w:val="04A0" w:firstRow="1" w:lastRow="0" w:firstColumn="1" w:lastColumn="0" w:noHBand="0" w:noVBand="1"/>
      </w:tblPr>
      <w:tblGrid>
        <w:gridCol w:w="5420"/>
        <w:gridCol w:w="1541"/>
        <w:gridCol w:w="1418"/>
      </w:tblGrid>
      <w:tr w:rsidRPr="001B5DC3" w:rsidR="00FA64BE" w:rsidTr="00FA64BE">
        <w:trPr>
          <w:trHeight w:val="225"/>
        </w:trPr>
        <w:tc>
          <w:tcPr>
            <w:tcW w:w="5420" w:type="dxa"/>
            <w:tcBorders>
              <w:top w:val="single" w:color="auto" w:sz="4" w:space="0"/>
              <w:left w:val="single" w:color="auto" w:sz="4" w:space="0"/>
              <w:bottom w:val="nil"/>
              <w:right w:val="nil"/>
            </w:tcBorders>
            <w:shd w:val="clear" w:color="000000" w:fill="000000"/>
            <w:noWrap/>
            <w:hideMark/>
          </w:tcPr>
          <w:p w:rsidRPr="001B5DC3" w:rsidR="00FA64BE" w:rsidP="00FA64BE" w:rsidRDefault="00FA64BE">
            <w:pPr>
              <w:tabs>
                <w:tab w:val="left" w:pos="-3969"/>
              </w:tabs>
              <w:overflowPunct/>
              <w:autoSpaceDE/>
              <w:autoSpaceDN/>
              <w:adjustRightInd/>
              <w:jc w:val="left"/>
              <w:textAlignment w:val="auto"/>
              <w:rPr>
                <w:rFonts w:ascii="Verdana" w:hAnsi="Verdana" w:cs="Calibri"/>
                <w:color w:val="FFFFFF"/>
                <w:szCs w:val="18"/>
                <w:lang w:eastAsia="en-GB"/>
              </w:rPr>
            </w:pPr>
            <w:r w:rsidRPr="001B5DC3">
              <w:rPr>
                <w:rFonts w:ascii="Verdana" w:hAnsi="Verdana" w:cs="Calibri"/>
                <w:color w:val="FFFFFF"/>
                <w:szCs w:val="18"/>
                <w:lang w:eastAsia="en-GB"/>
              </w:rPr>
              <w:t>Period ended</w:t>
            </w:r>
          </w:p>
        </w:tc>
        <w:tc>
          <w:tcPr>
            <w:tcW w:w="1541" w:type="dxa"/>
            <w:tcBorders>
              <w:top w:val="single" w:color="auto" w:sz="4" w:space="0"/>
              <w:left w:val="nil"/>
              <w:bottom w:val="nil"/>
              <w:right w:val="nil"/>
            </w:tcBorders>
            <w:shd w:val="clear" w:color="000000" w:fill="000000"/>
            <w:noWrap/>
            <w:vAlign w:val="bottom"/>
            <w:hideMark/>
          </w:tcPr>
          <w:p w:rsidRPr="001B5DC3" w:rsidR="00FA64BE" w:rsidP="0018277D" w:rsidRDefault="001B5DC3">
            <w:pPr>
              <w:tabs>
                <w:tab w:val="left" w:pos="-3969"/>
              </w:tabs>
              <w:overflowPunct/>
              <w:autoSpaceDE/>
              <w:autoSpaceDN/>
              <w:adjustRightInd/>
              <w:jc w:val="center"/>
              <w:textAlignment w:val="auto"/>
              <w:rPr>
                <w:rFonts w:ascii="Verdana" w:hAnsi="Verdana" w:cs="Calibri"/>
                <w:color w:val="FFFFFF"/>
                <w:szCs w:val="18"/>
                <w:lang w:eastAsia="en-GB"/>
              </w:rPr>
            </w:pPr>
            <w:r>
              <w:rPr>
                <w:rFonts w:ascii="Verdana" w:hAnsi="Verdana" w:cs="Calibri"/>
                <w:color w:val="FFFFFF"/>
                <w:szCs w:val="18"/>
                <w:lang w:eastAsia="en-GB"/>
              </w:rPr>
              <w:t>31-Mar-201</w:t>
            </w:r>
            <w:r w:rsidR="0018277D">
              <w:rPr>
                <w:rFonts w:ascii="Verdana" w:hAnsi="Verdana" w:cs="Calibri"/>
                <w:color w:val="FFFFFF"/>
                <w:szCs w:val="18"/>
                <w:lang w:eastAsia="en-GB"/>
              </w:rPr>
              <w:t>8</w:t>
            </w:r>
          </w:p>
        </w:tc>
        <w:tc>
          <w:tcPr>
            <w:tcW w:w="1418" w:type="dxa"/>
            <w:tcBorders>
              <w:top w:val="single" w:color="auto" w:sz="4" w:space="0"/>
              <w:left w:val="nil"/>
              <w:bottom w:val="nil"/>
              <w:right w:val="single" w:color="auto" w:sz="4" w:space="0"/>
            </w:tcBorders>
            <w:shd w:val="clear" w:color="000000" w:fill="000000"/>
            <w:noWrap/>
            <w:vAlign w:val="bottom"/>
            <w:hideMark/>
          </w:tcPr>
          <w:p w:rsidRPr="001B5DC3" w:rsidR="00FA64BE" w:rsidP="0018277D" w:rsidRDefault="001B5DC3">
            <w:pPr>
              <w:tabs>
                <w:tab w:val="left" w:pos="-3969"/>
              </w:tabs>
              <w:overflowPunct/>
              <w:autoSpaceDE/>
              <w:autoSpaceDN/>
              <w:adjustRightInd/>
              <w:jc w:val="right"/>
              <w:textAlignment w:val="auto"/>
              <w:rPr>
                <w:rFonts w:ascii="Verdana" w:hAnsi="Verdana" w:cs="Calibri"/>
                <w:color w:val="FFFFFF"/>
                <w:szCs w:val="18"/>
                <w:lang w:eastAsia="en-GB"/>
              </w:rPr>
            </w:pPr>
            <w:r>
              <w:rPr>
                <w:rFonts w:ascii="Verdana" w:hAnsi="Verdana" w:cs="Calibri"/>
                <w:color w:val="FFFFFF"/>
                <w:szCs w:val="18"/>
                <w:lang w:eastAsia="en-GB"/>
              </w:rPr>
              <w:t>31-Mar-201</w:t>
            </w:r>
            <w:r w:rsidR="0018277D">
              <w:rPr>
                <w:rFonts w:ascii="Verdana" w:hAnsi="Verdana" w:cs="Calibri"/>
                <w:color w:val="FFFFFF"/>
                <w:szCs w:val="18"/>
                <w:lang w:eastAsia="en-GB"/>
              </w:rPr>
              <w:t>7</w:t>
            </w:r>
          </w:p>
        </w:tc>
      </w:tr>
      <w:tr w:rsidRPr="001B5DC3" w:rsidR="001B5DC3" w:rsidTr="00FA64BE">
        <w:trPr>
          <w:trHeight w:val="225"/>
        </w:trPr>
        <w:tc>
          <w:tcPr>
            <w:tcW w:w="5420" w:type="dxa"/>
            <w:tcBorders>
              <w:top w:val="nil"/>
              <w:left w:val="single" w:color="auto" w:sz="4" w:space="0"/>
              <w:bottom w:val="nil"/>
              <w:right w:val="nil"/>
            </w:tcBorders>
            <w:shd w:val="clear" w:color="000000" w:fill="D9D9D9"/>
            <w:noWrap/>
            <w:hideMark/>
          </w:tcPr>
          <w:p w:rsidRPr="001B5DC3" w:rsidR="001B5DC3" w:rsidP="00FA64BE" w:rsidRDefault="001B5DC3">
            <w:pPr>
              <w:tabs>
                <w:tab w:val="left" w:pos="-3969"/>
              </w:tabs>
              <w:overflowPunct/>
              <w:autoSpaceDE/>
              <w:autoSpaceDN/>
              <w:adjustRightInd/>
              <w:jc w:val="left"/>
              <w:textAlignment w:val="auto"/>
              <w:rPr>
                <w:rFonts w:ascii="Verdana" w:hAnsi="Verdana" w:cs="Calibri"/>
                <w:szCs w:val="18"/>
                <w:lang w:eastAsia="en-GB"/>
              </w:rPr>
            </w:pPr>
            <w:r w:rsidRPr="001B5DC3">
              <w:rPr>
                <w:rFonts w:ascii="Verdana" w:hAnsi="Verdana" w:cs="Calibri"/>
                <w:szCs w:val="18"/>
                <w:lang w:eastAsia="en-GB"/>
              </w:rPr>
              <w:t>Pension increase rate</w:t>
            </w:r>
          </w:p>
        </w:tc>
        <w:tc>
          <w:tcPr>
            <w:tcW w:w="1541" w:type="dxa"/>
            <w:tcBorders>
              <w:top w:val="nil"/>
              <w:left w:val="nil"/>
              <w:bottom w:val="nil"/>
              <w:right w:val="nil"/>
            </w:tcBorders>
            <w:shd w:val="clear" w:color="000000" w:fill="D9D9D9"/>
            <w:noWrap/>
            <w:vAlign w:val="bottom"/>
            <w:hideMark/>
          </w:tcPr>
          <w:p w:rsidRPr="001B5DC3" w:rsidR="001B5DC3" w:rsidP="001B5DC3" w:rsidRDefault="001B5DC3">
            <w:pPr>
              <w:tabs>
                <w:tab w:val="left" w:pos="-3969"/>
              </w:tabs>
              <w:overflowPunct/>
              <w:autoSpaceDE/>
              <w:autoSpaceDN/>
              <w:adjustRightInd/>
              <w:jc w:val="center"/>
              <w:textAlignment w:val="auto"/>
              <w:rPr>
                <w:rFonts w:ascii="Verdana" w:hAnsi="Verdana" w:cs="Calibri"/>
                <w:szCs w:val="18"/>
                <w:lang w:eastAsia="en-GB"/>
              </w:rPr>
            </w:pPr>
            <w:r w:rsidRPr="001B5DC3">
              <w:rPr>
                <w:rFonts w:ascii="Verdana" w:hAnsi="Verdana" w:cs="Calibri"/>
                <w:szCs w:val="18"/>
                <w:lang w:eastAsia="en-GB"/>
              </w:rPr>
              <w:t>2.4%</w:t>
            </w:r>
          </w:p>
        </w:tc>
        <w:tc>
          <w:tcPr>
            <w:tcW w:w="1418" w:type="dxa"/>
            <w:tcBorders>
              <w:top w:val="nil"/>
              <w:left w:val="nil"/>
              <w:bottom w:val="nil"/>
              <w:right w:val="single" w:color="auto" w:sz="4" w:space="0"/>
            </w:tcBorders>
            <w:shd w:val="clear" w:color="000000" w:fill="D9D9D9"/>
            <w:noWrap/>
            <w:vAlign w:val="bottom"/>
            <w:hideMark/>
          </w:tcPr>
          <w:p w:rsidRPr="001B5DC3" w:rsidR="001B5DC3" w:rsidP="0018277D" w:rsidRDefault="001B5DC3">
            <w:pPr>
              <w:tabs>
                <w:tab w:val="left" w:pos="-3969"/>
              </w:tabs>
              <w:overflowPunct/>
              <w:autoSpaceDE/>
              <w:autoSpaceDN/>
              <w:adjustRightInd/>
              <w:jc w:val="center"/>
              <w:textAlignment w:val="auto"/>
              <w:rPr>
                <w:rFonts w:ascii="Verdana" w:hAnsi="Verdana" w:cs="Calibri"/>
                <w:szCs w:val="18"/>
                <w:lang w:eastAsia="en-GB"/>
              </w:rPr>
            </w:pPr>
            <w:r w:rsidRPr="001B5DC3">
              <w:rPr>
                <w:rFonts w:ascii="Verdana" w:hAnsi="Verdana" w:cs="Calibri"/>
                <w:szCs w:val="18"/>
                <w:lang w:eastAsia="en-GB"/>
              </w:rPr>
              <w:t>2.</w:t>
            </w:r>
            <w:r w:rsidR="0018277D">
              <w:rPr>
                <w:rFonts w:ascii="Verdana" w:hAnsi="Verdana" w:cs="Calibri"/>
                <w:szCs w:val="18"/>
                <w:lang w:eastAsia="en-GB"/>
              </w:rPr>
              <w:t>4</w:t>
            </w:r>
            <w:r w:rsidRPr="001B5DC3">
              <w:rPr>
                <w:rFonts w:ascii="Verdana" w:hAnsi="Verdana" w:cs="Calibri"/>
                <w:szCs w:val="18"/>
                <w:lang w:eastAsia="en-GB"/>
              </w:rPr>
              <w:t>%</w:t>
            </w:r>
          </w:p>
        </w:tc>
      </w:tr>
      <w:tr w:rsidRPr="001B5DC3" w:rsidR="001B5DC3" w:rsidTr="00FA64BE">
        <w:trPr>
          <w:trHeight w:val="225"/>
        </w:trPr>
        <w:tc>
          <w:tcPr>
            <w:tcW w:w="5420" w:type="dxa"/>
            <w:tcBorders>
              <w:top w:val="nil"/>
              <w:left w:val="single" w:color="auto" w:sz="4" w:space="0"/>
              <w:bottom w:val="nil"/>
              <w:right w:val="nil"/>
            </w:tcBorders>
            <w:shd w:val="clear" w:color="000000" w:fill="D9D9D9"/>
            <w:noWrap/>
            <w:hideMark/>
          </w:tcPr>
          <w:p w:rsidRPr="001B5DC3" w:rsidR="001B5DC3" w:rsidP="00FA64BE" w:rsidRDefault="001B5DC3">
            <w:pPr>
              <w:tabs>
                <w:tab w:val="left" w:pos="-3969"/>
              </w:tabs>
              <w:overflowPunct/>
              <w:autoSpaceDE/>
              <w:autoSpaceDN/>
              <w:adjustRightInd/>
              <w:jc w:val="left"/>
              <w:textAlignment w:val="auto"/>
              <w:rPr>
                <w:rFonts w:ascii="Verdana" w:hAnsi="Verdana" w:cs="Calibri"/>
                <w:szCs w:val="18"/>
                <w:lang w:eastAsia="en-GB"/>
              </w:rPr>
            </w:pPr>
            <w:r w:rsidRPr="001B5DC3">
              <w:rPr>
                <w:rFonts w:ascii="Verdana" w:hAnsi="Verdana" w:cs="Calibri"/>
                <w:szCs w:val="18"/>
                <w:lang w:eastAsia="en-GB"/>
              </w:rPr>
              <w:t>Salary increase rate</w:t>
            </w:r>
          </w:p>
        </w:tc>
        <w:tc>
          <w:tcPr>
            <w:tcW w:w="1541" w:type="dxa"/>
            <w:tcBorders>
              <w:top w:val="nil"/>
              <w:left w:val="nil"/>
              <w:bottom w:val="nil"/>
              <w:right w:val="nil"/>
            </w:tcBorders>
            <w:shd w:val="clear" w:color="000000" w:fill="D9D9D9"/>
            <w:noWrap/>
            <w:vAlign w:val="bottom"/>
            <w:hideMark/>
          </w:tcPr>
          <w:p w:rsidRPr="001B5DC3" w:rsidR="001B5DC3" w:rsidP="001B5DC3" w:rsidRDefault="001B5DC3">
            <w:pPr>
              <w:tabs>
                <w:tab w:val="left" w:pos="-3969"/>
              </w:tabs>
              <w:overflowPunct/>
              <w:autoSpaceDE/>
              <w:autoSpaceDN/>
              <w:adjustRightInd/>
              <w:jc w:val="center"/>
              <w:textAlignment w:val="auto"/>
              <w:rPr>
                <w:rFonts w:ascii="Verdana" w:hAnsi="Verdana" w:cs="Calibri"/>
                <w:szCs w:val="18"/>
                <w:lang w:eastAsia="en-GB"/>
              </w:rPr>
            </w:pPr>
            <w:r w:rsidRPr="001B5DC3">
              <w:rPr>
                <w:rFonts w:ascii="Verdana" w:hAnsi="Verdana" w:cs="Calibri"/>
                <w:szCs w:val="18"/>
                <w:lang w:eastAsia="en-GB"/>
              </w:rPr>
              <w:t>2.2%</w:t>
            </w:r>
          </w:p>
        </w:tc>
        <w:tc>
          <w:tcPr>
            <w:tcW w:w="1418" w:type="dxa"/>
            <w:tcBorders>
              <w:top w:val="nil"/>
              <w:left w:val="nil"/>
              <w:bottom w:val="nil"/>
              <w:right w:val="single" w:color="auto" w:sz="4" w:space="0"/>
            </w:tcBorders>
            <w:shd w:val="clear" w:color="000000" w:fill="D9D9D9"/>
            <w:noWrap/>
            <w:vAlign w:val="bottom"/>
            <w:hideMark/>
          </w:tcPr>
          <w:p w:rsidRPr="001B5DC3" w:rsidR="001B5DC3" w:rsidP="00C92621" w:rsidRDefault="0018277D">
            <w:pPr>
              <w:tabs>
                <w:tab w:val="left" w:pos="-3969"/>
              </w:tabs>
              <w:overflowPunct/>
              <w:autoSpaceDE/>
              <w:autoSpaceDN/>
              <w:adjustRightInd/>
              <w:jc w:val="center"/>
              <w:textAlignment w:val="auto"/>
              <w:rPr>
                <w:rFonts w:ascii="Verdana" w:hAnsi="Verdana" w:cs="Calibri"/>
                <w:szCs w:val="18"/>
                <w:lang w:eastAsia="en-GB"/>
              </w:rPr>
            </w:pPr>
            <w:r>
              <w:rPr>
                <w:rFonts w:ascii="Verdana" w:hAnsi="Verdana" w:cs="Calibri"/>
                <w:szCs w:val="18"/>
                <w:lang w:eastAsia="en-GB"/>
              </w:rPr>
              <w:t>2.2</w:t>
            </w:r>
            <w:r w:rsidRPr="001B5DC3" w:rsidR="001B5DC3">
              <w:rPr>
                <w:rFonts w:ascii="Verdana" w:hAnsi="Verdana" w:cs="Calibri"/>
                <w:szCs w:val="18"/>
                <w:lang w:eastAsia="en-GB"/>
              </w:rPr>
              <w:t>%</w:t>
            </w:r>
          </w:p>
        </w:tc>
      </w:tr>
      <w:tr w:rsidRPr="008B41ED" w:rsidR="001B5DC3" w:rsidTr="00FA64BE">
        <w:trPr>
          <w:trHeight w:val="225"/>
        </w:trPr>
        <w:tc>
          <w:tcPr>
            <w:tcW w:w="5420" w:type="dxa"/>
            <w:tcBorders>
              <w:top w:val="nil"/>
              <w:left w:val="single" w:color="auto" w:sz="4" w:space="0"/>
              <w:bottom w:val="single" w:color="auto" w:sz="4" w:space="0"/>
              <w:right w:val="nil"/>
            </w:tcBorders>
            <w:shd w:val="clear" w:color="000000" w:fill="D9D9D9"/>
            <w:noWrap/>
            <w:hideMark/>
          </w:tcPr>
          <w:p w:rsidRPr="001B5DC3" w:rsidR="001B5DC3" w:rsidP="00FA64BE" w:rsidRDefault="001B5DC3">
            <w:pPr>
              <w:tabs>
                <w:tab w:val="left" w:pos="-3969"/>
              </w:tabs>
              <w:overflowPunct/>
              <w:autoSpaceDE/>
              <w:autoSpaceDN/>
              <w:adjustRightInd/>
              <w:jc w:val="left"/>
              <w:textAlignment w:val="auto"/>
              <w:rPr>
                <w:rFonts w:ascii="Verdana" w:hAnsi="Verdana" w:cs="Calibri"/>
                <w:szCs w:val="18"/>
                <w:lang w:eastAsia="en-GB"/>
              </w:rPr>
            </w:pPr>
            <w:r w:rsidRPr="001B5DC3">
              <w:rPr>
                <w:rFonts w:ascii="Verdana" w:hAnsi="Verdana" w:cs="Calibri"/>
                <w:szCs w:val="18"/>
                <w:lang w:eastAsia="en-GB"/>
              </w:rPr>
              <w:t>Discount rate</w:t>
            </w:r>
          </w:p>
        </w:tc>
        <w:tc>
          <w:tcPr>
            <w:tcW w:w="1541" w:type="dxa"/>
            <w:tcBorders>
              <w:top w:val="nil"/>
              <w:left w:val="nil"/>
              <w:bottom w:val="single" w:color="auto" w:sz="4" w:space="0"/>
              <w:right w:val="nil"/>
            </w:tcBorders>
            <w:shd w:val="clear" w:color="000000" w:fill="D9D9D9"/>
            <w:noWrap/>
            <w:vAlign w:val="bottom"/>
            <w:hideMark/>
          </w:tcPr>
          <w:p w:rsidRPr="001B5DC3" w:rsidR="001B5DC3" w:rsidP="00FA64BE" w:rsidRDefault="0018277D">
            <w:pPr>
              <w:tabs>
                <w:tab w:val="left" w:pos="-3969"/>
              </w:tabs>
              <w:overflowPunct/>
              <w:autoSpaceDE/>
              <w:autoSpaceDN/>
              <w:adjustRightInd/>
              <w:jc w:val="center"/>
              <w:textAlignment w:val="auto"/>
              <w:rPr>
                <w:rFonts w:ascii="Verdana" w:hAnsi="Verdana" w:cs="Calibri"/>
                <w:szCs w:val="18"/>
                <w:lang w:eastAsia="en-GB"/>
              </w:rPr>
            </w:pPr>
            <w:r>
              <w:rPr>
                <w:rFonts w:ascii="Verdana" w:hAnsi="Verdana" w:cs="Calibri"/>
                <w:szCs w:val="18"/>
                <w:lang w:eastAsia="en-GB"/>
              </w:rPr>
              <w:t>2.7</w:t>
            </w:r>
            <w:r w:rsidRPr="001B5DC3" w:rsidR="001B5DC3">
              <w:rPr>
                <w:rFonts w:ascii="Verdana" w:hAnsi="Verdana" w:cs="Calibri"/>
                <w:szCs w:val="18"/>
                <w:lang w:eastAsia="en-GB"/>
              </w:rPr>
              <w:t>%</w:t>
            </w:r>
          </w:p>
        </w:tc>
        <w:tc>
          <w:tcPr>
            <w:tcW w:w="1418" w:type="dxa"/>
            <w:tcBorders>
              <w:top w:val="nil"/>
              <w:left w:val="nil"/>
              <w:bottom w:val="single" w:color="auto" w:sz="4" w:space="0"/>
              <w:right w:val="single" w:color="auto" w:sz="4" w:space="0"/>
            </w:tcBorders>
            <w:shd w:val="clear" w:color="000000" w:fill="D9D9D9"/>
            <w:noWrap/>
            <w:vAlign w:val="bottom"/>
            <w:hideMark/>
          </w:tcPr>
          <w:p w:rsidRPr="001B5DC3" w:rsidR="001B5DC3" w:rsidP="00C92621" w:rsidRDefault="0018277D">
            <w:pPr>
              <w:tabs>
                <w:tab w:val="left" w:pos="-3969"/>
              </w:tabs>
              <w:overflowPunct/>
              <w:autoSpaceDE/>
              <w:autoSpaceDN/>
              <w:adjustRightInd/>
              <w:jc w:val="center"/>
              <w:textAlignment w:val="auto"/>
              <w:rPr>
                <w:rFonts w:ascii="Verdana" w:hAnsi="Verdana" w:cs="Calibri"/>
                <w:szCs w:val="18"/>
                <w:lang w:eastAsia="en-GB"/>
              </w:rPr>
            </w:pPr>
            <w:r>
              <w:rPr>
                <w:rFonts w:ascii="Verdana" w:hAnsi="Verdana" w:cs="Calibri"/>
                <w:szCs w:val="18"/>
                <w:lang w:eastAsia="en-GB"/>
              </w:rPr>
              <w:t>2.6</w:t>
            </w:r>
            <w:r w:rsidRPr="001B5DC3" w:rsidR="001B5DC3">
              <w:rPr>
                <w:rFonts w:ascii="Verdana" w:hAnsi="Verdana" w:cs="Calibri"/>
                <w:szCs w:val="18"/>
                <w:lang w:eastAsia="en-GB"/>
              </w:rPr>
              <w:t>%</w:t>
            </w:r>
          </w:p>
        </w:tc>
      </w:tr>
    </w:tbl>
    <w:p w:rsidRPr="001B5DC3" w:rsidR="00FA64BE" w:rsidP="00FA64BE" w:rsidRDefault="00FA64BE">
      <w:pPr>
        <w:pStyle w:val="ACText"/>
        <w:tabs>
          <w:tab w:val="clear" w:pos="0"/>
          <w:tab w:val="left" w:pos="-3969"/>
        </w:tabs>
        <w:rPr>
          <w:rFonts w:ascii="Verdana" w:hAnsi="Verdana"/>
          <w:b/>
          <w:bCs/>
          <w:color w:val="000000"/>
          <w:lang w:eastAsia="en-GB"/>
        </w:rPr>
      </w:pPr>
      <w:r w:rsidRPr="001B5DC3">
        <w:rPr>
          <w:rFonts w:ascii="Verdana" w:hAnsi="Verdana"/>
          <w:b/>
          <w:bCs/>
          <w:color w:val="000000"/>
          <w:lang w:eastAsia="en-GB"/>
        </w:rPr>
        <w:t>Mortality Assumptions</w:t>
      </w:r>
    </w:p>
    <w:tbl>
      <w:tblPr>
        <w:tblW w:w="8379" w:type="dxa"/>
        <w:tblInd w:w="93" w:type="dxa"/>
        <w:tblLook w:val="04A0" w:firstRow="1" w:lastRow="0" w:firstColumn="1" w:lastColumn="0" w:noHBand="0" w:noVBand="1"/>
      </w:tblPr>
      <w:tblGrid>
        <w:gridCol w:w="5827"/>
        <w:gridCol w:w="1276"/>
        <w:gridCol w:w="1276"/>
      </w:tblGrid>
      <w:tr w:rsidRPr="001B5DC3" w:rsidR="00FA64BE" w:rsidTr="00FA64BE">
        <w:trPr>
          <w:trHeight w:val="225"/>
        </w:trPr>
        <w:tc>
          <w:tcPr>
            <w:tcW w:w="5827" w:type="dxa"/>
            <w:tcBorders>
              <w:top w:val="nil"/>
              <w:left w:val="nil"/>
              <w:bottom w:val="nil"/>
              <w:right w:val="nil"/>
            </w:tcBorders>
            <w:shd w:val="clear" w:color="000000" w:fill="000000"/>
            <w:noWrap/>
            <w:hideMark/>
          </w:tcPr>
          <w:p w:rsidRPr="001B5DC3" w:rsidR="00FA64BE" w:rsidP="00FA64BE" w:rsidRDefault="00FA64BE">
            <w:pPr>
              <w:tabs>
                <w:tab w:val="left" w:pos="-3969"/>
              </w:tabs>
              <w:overflowPunct/>
              <w:autoSpaceDE/>
              <w:autoSpaceDN/>
              <w:adjustRightInd/>
              <w:jc w:val="left"/>
              <w:textAlignment w:val="auto"/>
              <w:rPr>
                <w:rFonts w:ascii="Verdana" w:hAnsi="Verdana" w:cs="Calibri"/>
                <w:color w:val="FFFFFF"/>
                <w:szCs w:val="18"/>
                <w:lang w:eastAsia="en-GB"/>
              </w:rPr>
            </w:pPr>
          </w:p>
        </w:tc>
        <w:tc>
          <w:tcPr>
            <w:tcW w:w="1276" w:type="dxa"/>
            <w:tcBorders>
              <w:top w:val="nil"/>
              <w:left w:val="nil"/>
              <w:bottom w:val="nil"/>
              <w:right w:val="nil"/>
            </w:tcBorders>
            <w:shd w:val="clear" w:color="000000" w:fill="000000"/>
            <w:noWrap/>
            <w:hideMark/>
          </w:tcPr>
          <w:p w:rsidRPr="001B5DC3" w:rsidR="00FA64BE" w:rsidP="00FA64BE" w:rsidRDefault="00FA64BE">
            <w:pPr>
              <w:tabs>
                <w:tab w:val="left" w:pos="-3969"/>
              </w:tabs>
              <w:overflowPunct/>
              <w:autoSpaceDE/>
              <w:autoSpaceDN/>
              <w:adjustRightInd/>
              <w:jc w:val="center"/>
              <w:textAlignment w:val="auto"/>
              <w:rPr>
                <w:rFonts w:ascii="Verdana" w:hAnsi="Verdana" w:cs="Calibri"/>
                <w:color w:val="FFFFFF"/>
                <w:szCs w:val="18"/>
                <w:lang w:eastAsia="en-GB"/>
              </w:rPr>
            </w:pPr>
            <w:r w:rsidRPr="001B5DC3">
              <w:rPr>
                <w:rFonts w:ascii="Verdana" w:hAnsi="Verdana" w:cs="Calibri"/>
                <w:color w:val="FFFFFF"/>
                <w:szCs w:val="18"/>
                <w:lang w:eastAsia="en-GB"/>
              </w:rPr>
              <w:t>Males</w:t>
            </w:r>
          </w:p>
        </w:tc>
        <w:tc>
          <w:tcPr>
            <w:tcW w:w="1276" w:type="dxa"/>
            <w:tcBorders>
              <w:top w:val="nil"/>
              <w:left w:val="nil"/>
              <w:bottom w:val="nil"/>
              <w:right w:val="nil"/>
            </w:tcBorders>
            <w:shd w:val="clear" w:color="000000" w:fill="000000"/>
            <w:noWrap/>
            <w:vAlign w:val="bottom"/>
            <w:hideMark/>
          </w:tcPr>
          <w:p w:rsidRPr="001B5DC3" w:rsidR="00FA64BE" w:rsidP="00FA64BE" w:rsidRDefault="00FA64BE">
            <w:pPr>
              <w:tabs>
                <w:tab w:val="left" w:pos="-3969"/>
              </w:tabs>
              <w:overflowPunct/>
              <w:autoSpaceDE/>
              <w:autoSpaceDN/>
              <w:adjustRightInd/>
              <w:jc w:val="left"/>
              <w:textAlignment w:val="auto"/>
              <w:rPr>
                <w:rFonts w:ascii="Verdana" w:hAnsi="Verdana" w:cs="Calibri"/>
                <w:color w:val="FFFFFF"/>
                <w:szCs w:val="18"/>
                <w:lang w:eastAsia="en-GB"/>
              </w:rPr>
            </w:pPr>
            <w:r w:rsidRPr="001B5DC3">
              <w:rPr>
                <w:rFonts w:ascii="Verdana" w:hAnsi="Verdana" w:cs="Calibri"/>
                <w:color w:val="FFFFFF"/>
                <w:szCs w:val="18"/>
                <w:lang w:eastAsia="en-GB"/>
              </w:rPr>
              <w:t xml:space="preserve"> Females </w:t>
            </w:r>
          </w:p>
        </w:tc>
      </w:tr>
      <w:tr w:rsidRPr="001B5DC3" w:rsidR="00FA64BE" w:rsidTr="00FA64BE">
        <w:trPr>
          <w:trHeight w:val="225"/>
        </w:trPr>
        <w:tc>
          <w:tcPr>
            <w:tcW w:w="5827" w:type="dxa"/>
            <w:tcBorders>
              <w:top w:val="single" w:color="auto" w:sz="4" w:space="0"/>
              <w:left w:val="single" w:color="auto" w:sz="4" w:space="0"/>
              <w:bottom w:val="nil"/>
              <w:right w:val="nil"/>
            </w:tcBorders>
            <w:shd w:val="clear" w:color="000000" w:fill="D9D9D9"/>
            <w:noWrap/>
            <w:vAlign w:val="bottom"/>
            <w:hideMark/>
          </w:tcPr>
          <w:p w:rsidRPr="001B5DC3" w:rsidR="00FA64BE" w:rsidP="00FA64BE" w:rsidRDefault="00FA64BE">
            <w:pPr>
              <w:tabs>
                <w:tab w:val="left" w:pos="-3969"/>
              </w:tabs>
              <w:overflowPunct/>
              <w:autoSpaceDE/>
              <w:autoSpaceDN/>
              <w:adjustRightInd/>
              <w:jc w:val="left"/>
              <w:textAlignment w:val="auto"/>
              <w:rPr>
                <w:rFonts w:ascii="Verdana" w:hAnsi="Verdana" w:cs="Calibri"/>
                <w:color w:val="000000"/>
                <w:szCs w:val="18"/>
                <w:lang w:eastAsia="en-GB"/>
              </w:rPr>
            </w:pPr>
            <w:r w:rsidRPr="001B5DC3">
              <w:rPr>
                <w:rFonts w:ascii="Verdana" w:hAnsi="Verdana" w:cs="Calibri"/>
                <w:color w:val="000000"/>
                <w:szCs w:val="18"/>
                <w:lang w:eastAsia="en-GB"/>
              </w:rPr>
              <w:t>Current pensioners</w:t>
            </w:r>
          </w:p>
        </w:tc>
        <w:tc>
          <w:tcPr>
            <w:tcW w:w="1276" w:type="dxa"/>
            <w:tcBorders>
              <w:top w:val="single" w:color="auto" w:sz="4" w:space="0"/>
              <w:left w:val="nil"/>
              <w:bottom w:val="nil"/>
              <w:right w:val="nil"/>
            </w:tcBorders>
            <w:shd w:val="clear" w:color="000000" w:fill="D9D9D9"/>
            <w:noWrap/>
            <w:vAlign w:val="bottom"/>
            <w:hideMark/>
          </w:tcPr>
          <w:p w:rsidRPr="001B5DC3" w:rsidR="00FA64BE" w:rsidP="001B5DC3" w:rsidRDefault="00FA64BE">
            <w:pPr>
              <w:tabs>
                <w:tab w:val="left" w:pos="-3969"/>
              </w:tabs>
              <w:overflowPunct/>
              <w:autoSpaceDE/>
              <w:autoSpaceDN/>
              <w:adjustRightInd/>
              <w:jc w:val="center"/>
              <w:textAlignment w:val="auto"/>
              <w:rPr>
                <w:rFonts w:ascii="Verdana" w:hAnsi="Verdana" w:cs="Calibri"/>
                <w:color w:val="000000"/>
                <w:szCs w:val="18"/>
                <w:lang w:eastAsia="en-GB"/>
              </w:rPr>
            </w:pPr>
            <w:r w:rsidRPr="001B5DC3">
              <w:rPr>
                <w:rFonts w:ascii="Verdana" w:hAnsi="Verdana" w:cs="Calibri"/>
                <w:color w:val="000000"/>
                <w:szCs w:val="18"/>
                <w:lang w:eastAsia="en-GB"/>
              </w:rPr>
              <w:t>22.</w:t>
            </w:r>
            <w:r w:rsidRPr="001B5DC3" w:rsidR="001B5DC3">
              <w:rPr>
                <w:rFonts w:ascii="Verdana" w:hAnsi="Verdana" w:cs="Calibri"/>
                <w:color w:val="000000"/>
                <w:szCs w:val="18"/>
                <w:lang w:eastAsia="en-GB"/>
              </w:rPr>
              <w:t>1</w:t>
            </w:r>
          </w:p>
        </w:tc>
        <w:tc>
          <w:tcPr>
            <w:tcW w:w="1276" w:type="dxa"/>
            <w:tcBorders>
              <w:top w:val="single" w:color="auto" w:sz="4" w:space="0"/>
              <w:left w:val="nil"/>
              <w:bottom w:val="nil"/>
              <w:right w:val="single" w:color="auto" w:sz="4" w:space="0"/>
            </w:tcBorders>
            <w:shd w:val="clear" w:color="000000" w:fill="D9D9D9"/>
            <w:noWrap/>
            <w:vAlign w:val="bottom"/>
            <w:hideMark/>
          </w:tcPr>
          <w:p w:rsidRPr="001B5DC3" w:rsidR="00FA64BE" w:rsidP="001B5DC3" w:rsidRDefault="00FA64BE">
            <w:pPr>
              <w:tabs>
                <w:tab w:val="left" w:pos="-3969"/>
              </w:tabs>
              <w:overflowPunct/>
              <w:autoSpaceDE/>
              <w:autoSpaceDN/>
              <w:adjustRightInd/>
              <w:jc w:val="center"/>
              <w:textAlignment w:val="auto"/>
              <w:rPr>
                <w:rFonts w:ascii="Verdana" w:hAnsi="Verdana" w:cs="Calibri"/>
                <w:color w:val="000000"/>
                <w:szCs w:val="18"/>
                <w:lang w:eastAsia="en-GB"/>
              </w:rPr>
            </w:pPr>
            <w:r w:rsidRPr="001B5DC3">
              <w:rPr>
                <w:rFonts w:ascii="Verdana" w:hAnsi="Verdana" w:cs="Calibri"/>
                <w:color w:val="000000"/>
                <w:szCs w:val="18"/>
                <w:lang w:eastAsia="en-GB"/>
              </w:rPr>
              <w:t>24.</w:t>
            </w:r>
            <w:r w:rsidRPr="001B5DC3" w:rsidR="001B5DC3">
              <w:rPr>
                <w:rFonts w:ascii="Verdana" w:hAnsi="Verdana" w:cs="Calibri"/>
                <w:color w:val="000000"/>
                <w:szCs w:val="18"/>
                <w:lang w:eastAsia="en-GB"/>
              </w:rPr>
              <w:t>1</w:t>
            </w:r>
          </w:p>
        </w:tc>
      </w:tr>
      <w:tr w:rsidRPr="001B5DC3" w:rsidR="00FA64BE" w:rsidTr="00FA64BE">
        <w:trPr>
          <w:trHeight w:val="225"/>
        </w:trPr>
        <w:tc>
          <w:tcPr>
            <w:tcW w:w="5827" w:type="dxa"/>
            <w:tcBorders>
              <w:top w:val="nil"/>
              <w:left w:val="single" w:color="auto" w:sz="4" w:space="0"/>
              <w:bottom w:val="single" w:color="auto" w:sz="4" w:space="0"/>
              <w:right w:val="nil"/>
            </w:tcBorders>
            <w:shd w:val="clear" w:color="000000" w:fill="D9D9D9"/>
            <w:noWrap/>
            <w:vAlign w:val="bottom"/>
            <w:hideMark/>
          </w:tcPr>
          <w:p w:rsidRPr="001B5DC3" w:rsidR="00FA64BE" w:rsidP="00FA64BE" w:rsidRDefault="00FA64BE">
            <w:pPr>
              <w:tabs>
                <w:tab w:val="left" w:pos="-3969"/>
              </w:tabs>
              <w:overflowPunct/>
              <w:autoSpaceDE/>
              <w:autoSpaceDN/>
              <w:adjustRightInd/>
              <w:jc w:val="left"/>
              <w:textAlignment w:val="auto"/>
              <w:rPr>
                <w:rFonts w:ascii="Verdana" w:hAnsi="Verdana" w:cs="Calibri"/>
                <w:color w:val="000000"/>
                <w:szCs w:val="18"/>
                <w:lang w:eastAsia="en-GB"/>
              </w:rPr>
            </w:pPr>
            <w:r w:rsidRPr="001B5DC3">
              <w:rPr>
                <w:rFonts w:ascii="Verdana" w:hAnsi="Verdana" w:cs="Calibri"/>
                <w:color w:val="000000"/>
                <w:szCs w:val="18"/>
                <w:lang w:eastAsia="en-GB"/>
              </w:rPr>
              <w:t>Future pensioners</w:t>
            </w:r>
          </w:p>
        </w:tc>
        <w:tc>
          <w:tcPr>
            <w:tcW w:w="1276" w:type="dxa"/>
            <w:tcBorders>
              <w:top w:val="nil"/>
              <w:left w:val="nil"/>
              <w:bottom w:val="single" w:color="auto" w:sz="4" w:space="0"/>
              <w:right w:val="nil"/>
            </w:tcBorders>
            <w:shd w:val="clear" w:color="000000" w:fill="D9D9D9"/>
            <w:noWrap/>
            <w:vAlign w:val="bottom"/>
            <w:hideMark/>
          </w:tcPr>
          <w:p w:rsidRPr="001B5DC3" w:rsidR="00FA64BE" w:rsidP="00FA64BE" w:rsidRDefault="001B5DC3">
            <w:pPr>
              <w:tabs>
                <w:tab w:val="left" w:pos="-3969"/>
              </w:tabs>
              <w:overflowPunct/>
              <w:autoSpaceDE/>
              <w:autoSpaceDN/>
              <w:adjustRightInd/>
              <w:jc w:val="center"/>
              <w:textAlignment w:val="auto"/>
              <w:rPr>
                <w:rFonts w:ascii="Verdana" w:hAnsi="Verdana" w:cs="Calibri"/>
                <w:color w:val="000000"/>
                <w:szCs w:val="18"/>
                <w:lang w:eastAsia="en-GB"/>
              </w:rPr>
            </w:pPr>
            <w:r w:rsidRPr="001B5DC3">
              <w:rPr>
                <w:rFonts w:ascii="Verdana" w:hAnsi="Verdana" w:cs="Calibri"/>
                <w:color w:val="000000"/>
                <w:szCs w:val="18"/>
                <w:lang w:eastAsia="en-GB"/>
              </w:rPr>
              <w:t>23.9</w:t>
            </w:r>
          </w:p>
        </w:tc>
        <w:tc>
          <w:tcPr>
            <w:tcW w:w="1276" w:type="dxa"/>
            <w:tcBorders>
              <w:top w:val="nil"/>
              <w:left w:val="nil"/>
              <w:bottom w:val="single" w:color="auto" w:sz="4" w:space="0"/>
              <w:right w:val="single" w:color="auto" w:sz="4" w:space="0"/>
            </w:tcBorders>
            <w:shd w:val="clear" w:color="000000" w:fill="D9D9D9"/>
            <w:noWrap/>
            <w:vAlign w:val="bottom"/>
            <w:hideMark/>
          </w:tcPr>
          <w:p w:rsidRPr="001B5DC3" w:rsidR="00FA64BE" w:rsidP="001B5DC3" w:rsidRDefault="00FA64BE">
            <w:pPr>
              <w:tabs>
                <w:tab w:val="left" w:pos="-3969"/>
              </w:tabs>
              <w:overflowPunct/>
              <w:autoSpaceDE/>
              <w:autoSpaceDN/>
              <w:adjustRightInd/>
              <w:jc w:val="center"/>
              <w:textAlignment w:val="auto"/>
              <w:rPr>
                <w:rFonts w:ascii="Verdana" w:hAnsi="Verdana" w:cs="Calibri"/>
                <w:color w:val="000000"/>
                <w:szCs w:val="18"/>
                <w:lang w:eastAsia="en-GB"/>
              </w:rPr>
            </w:pPr>
            <w:r w:rsidRPr="001B5DC3">
              <w:rPr>
                <w:rFonts w:ascii="Verdana" w:hAnsi="Verdana" w:cs="Calibri"/>
                <w:color w:val="000000"/>
                <w:szCs w:val="18"/>
                <w:lang w:eastAsia="en-GB"/>
              </w:rPr>
              <w:t>2</w:t>
            </w:r>
            <w:r w:rsidRPr="001B5DC3" w:rsidR="001B5DC3">
              <w:rPr>
                <w:rFonts w:ascii="Verdana" w:hAnsi="Verdana" w:cs="Calibri"/>
                <w:color w:val="000000"/>
                <w:szCs w:val="18"/>
                <w:lang w:eastAsia="en-GB"/>
              </w:rPr>
              <w:t>5</w:t>
            </w:r>
            <w:r w:rsidRPr="001B5DC3">
              <w:rPr>
                <w:rFonts w:ascii="Verdana" w:hAnsi="Verdana" w:cs="Calibri"/>
                <w:color w:val="000000"/>
                <w:szCs w:val="18"/>
                <w:lang w:eastAsia="en-GB"/>
              </w:rPr>
              <w:t>.</w:t>
            </w:r>
            <w:r w:rsidRPr="001B5DC3" w:rsidR="001B5DC3">
              <w:rPr>
                <w:rFonts w:ascii="Verdana" w:hAnsi="Verdana" w:cs="Calibri"/>
                <w:color w:val="000000"/>
                <w:szCs w:val="18"/>
                <w:lang w:eastAsia="en-GB"/>
              </w:rPr>
              <w:t>8</w:t>
            </w:r>
          </w:p>
        </w:tc>
      </w:tr>
    </w:tbl>
    <w:p w:rsidRPr="001B5DC3" w:rsidR="00FA64BE" w:rsidP="00FA64BE" w:rsidRDefault="00FA64BE">
      <w:pPr>
        <w:pStyle w:val="ACText"/>
        <w:tabs>
          <w:tab w:val="clear" w:pos="0"/>
          <w:tab w:val="left" w:pos="-3969"/>
        </w:tabs>
        <w:rPr>
          <w:rFonts w:ascii="Verdana" w:hAnsi="Verdana"/>
          <w:b/>
          <w:bCs/>
          <w:color w:val="000000"/>
          <w:lang w:eastAsia="en-GB"/>
        </w:rPr>
      </w:pPr>
    </w:p>
    <w:p w:rsidRPr="009616FA" w:rsidR="00FA64BE" w:rsidP="00FA64BE" w:rsidRDefault="001B5DC3">
      <w:pPr>
        <w:pStyle w:val="ACText"/>
        <w:tabs>
          <w:tab w:val="clear" w:pos="0"/>
          <w:tab w:val="left" w:pos="-3969"/>
        </w:tabs>
        <w:rPr>
          <w:rFonts w:ascii="Verdana" w:hAnsi="Verdana"/>
          <w:b/>
          <w:bCs/>
          <w:color w:val="000000"/>
          <w:lang w:eastAsia="en-GB"/>
        </w:rPr>
      </w:pPr>
      <w:r w:rsidRPr="009616FA">
        <w:rPr>
          <w:rFonts w:ascii="Verdana" w:hAnsi="Verdana"/>
          <w:b/>
          <w:bCs/>
          <w:color w:val="000000"/>
          <w:lang w:eastAsia="en-GB"/>
        </w:rPr>
        <w:t>Projected Costs to 31 March 2018</w:t>
      </w:r>
    </w:p>
    <w:tbl>
      <w:tblPr>
        <w:tblW w:w="8343" w:type="dxa"/>
        <w:tblInd w:w="93" w:type="dxa"/>
        <w:tblLook w:val="04A0" w:firstRow="1" w:lastRow="0" w:firstColumn="1" w:lastColumn="0" w:noHBand="0" w:noVBand="1"/>
      </w:tblPr>
      <w:tblGrid>
        <w:gridCol w:w="4300"/>
        <w:gridCol w:w="880"/>
        <w:gridCol w:w="1320"/>
        <w:gridCol w:w="903"/>
        <w:gridCol w:w="940"/>
      </w:tblGrid>
      <w:tr w:rsidRPr="002671BE" w:rsidR="00FA64BE" w:rsidTr="00FA64BE">
        <w:trPr>
          <w:trHeight w:val="225"/>
        </w:trPr>
        <w:tc>
          <w:tcPr>
            <w:tcW w:w="4300" w:type="dxa"/>
            <w:tcBorders>
              <w:top w:val="nil"/>
              <w:left w:val="nil"/>
              <w:bottom w:val="nil"/>
              <w:right w:val="nil"/>
            </w:tcBorders>
            <w:shd w:val="clear" w:color="auto" w:fill="auto"/>
            <w:noWrap/>
            <w:vAlign w:val="bottom"/>
            <w:hideMark/>
          </w:tcPr>
          <w:p w:rsidRPr="002671BE" w:rsidR="00FA64BE" w:rsidP="00FA64BE" w:rsidRDefault="00FA64BE">
            <w:pPr>
              <w:tabs>
                <w:tab w:val="left" w:pos="-3969"/>
              </w:tabs>
              <w:overflowPunct/>
              <w:autoSpaceDE/>
              <w:autoSpaceDN/>
              <w:adjustRightInd/>
              <w:jc w:val="left"/>
              <w:textAlignment w:val="auto"/>
              <w:rPr>
                <w:rFonts w:ascii="Verdana" w:hAnsi="Verdana" w:cs="Calibri"/>
                <w:szCs w:val="18"/>
                <w:lang w:eastAsia="en-GB"/>
              </w:rPr>
            </w:pPr>
          </w:p>
        </w:tc>
        <w:tc>
          <w:tcPr>
            <w:tcW w:w="880" w:type="dxa"/>
            <w:tcBorders>
              <w:top w:val="single" w:color="auto" w:sz="4" w:space="0"/>
              <w:left w:val="single" w:color="auto" w:sz="4" w:space="0"/>
              <w:bottom w:val="nil"/>
              <w:right w:val="single" w:color="auto" w:sz="4" w:space="0"/>
            </w:tcBorders>
            <w:shd w:val="clear" w:color="000000" w:fill="000000"/>
            <w:noWrap/>
            <w:vAlign w:val="bottom"/>
            <w:hideMark/>
          </w:tcPr>
          <w:p w:rsidRPr="002671BE" w:rsidR="00FA64BE" w:rsidP="00FA64BE" w:rsidRDefault="00FA64BE">
            <w:pPr>
              <w:tabs>
                <w:tab w:val="left" w:pos="-3969"/>
              </w:tabs>
              <w:overflowPunct/>
              <w:autoSpaceDE/>
              <w:autoSpaceDN/>
              <w:adjustRightInd/>
              <w:jc w:val="center"/>
              <w:textAlignment w:val="auto"/>
              <w:rPr>
                <w:rFonts w:ascii="Verdana" w:hAnsi="Verdana" w:cs="Calibri"/>
                <w:szCs w:val="18"/>
                <w:lang w:eastAsia="en-GB"/>
              </w:rPr>
            </w:pPr>
            <w:r w:rsidRPr="002671BE">
              <w:rPr>
                <w:rFonts w:ascii="Verdana" w:hAnsi="Verdana" w:cs="Calibri"/>
                <w:szCs w:val="18"/>
                <w:lang w:eastAsia="en-GB"/>
              </w:rPr>
              <w:t xml:space="preserve"> Assets </w:t>
            </w:r>
          </w:p>
        </w:tc>
        <w:tc>
          <w:tcPr>
            <w:tcW w:w="1320" w:type="dxa"/>
            <w:tcBorders>
              <w:top w:val="single" w:color="auto" w:sz="4" w:space="0"/>
              <w:left w:val="nil"/>
              <w:bottom w:val="nil"/>
              <w:right w:val="nil"/>
            </w:tcBorders>
            <w:shd w:val="clear" w:color="000000" w:fill="000000"/>
            <w:noWrap/>
            <w:vAlign w:val="bottom"/>
            <w:hideMark/>
          </w:tcPr>
          <w:p w:rsidRPr="002671BE" w:rsidR="00FA64BE" w:rsidP="00FA64BE" w:rsidRDefault="00FA64BE">
            <w:pPr>
              <w:tabs>
                <w:tab w:val="left" w:pos="-3969"/>
              </w:tabs>
              <w:overflowPunct/>
              <w:autoSpaceDE/>
              <w:autoSpaceDN/>
              <w:adjustRightInd/>
              <w:jc w:val="center"/>
              <w:textAlignment w:val="auto"/>
              <w:rPr>
                <w:rFonts w:ascii="Verdana" w:hAnsi="Verdana" w:cs="Calibri"/>
                <w:szCs w:val="18"/>
                <w:lang w:eastAsia="en-GB"/>
              </w:rPr>
            </w:pPr>
            <w:r w:rsidRPr="002671BE">
              <w:rPr>
                <w:rFonts w:ascii="Verdana" w:hAnsi="Verdana" w:cs="Calibri"/>
                <w:szCs w:val="18"/>
                <w:lang w:eastAsia="en-GB"/>
              </w:rPr>
              <w:t xml:space="preserve"> Obligations </w:t>
            </w:r>
          </w:p>
        </w:tc>
        <w:tc>
          <w:tcPr>
            <w:tcW w:w="903" w:type="dxa"/>
            <w:tcBorders>
              <w:top w:val="single" w:color="auto" w:sz="4" w:space="0"/>
              <w:left w:val="single" w:color="auto" w:sz="4" w:space="0"/>
              <w:bottom w:val="nil"/>
              <w:right w:val="single" w:color="auto" w:sz="4" w:space="0"/>
            </w:tcBorders>
            <w:shd w:val="clear" w:color="000000" w:fill="000000"/>
            <w:noWrap/>
            <w:vAlign w:val="bottom"/>
            <w:hideMark/>
          </w:tcPr>
          <w:p w:rsidRPr="002671BE" w:rsidR="00FA64BE" w:rsidP="00FA64BE" w:rsidRDefault="00FA64BE">
            <w:pPr>
              <w:tabs>
                <w:tab w:val="left" w:pos="-3969"/>
              </w:tabs>
              <w:overflowPunct/>
              <w:autoSpaceDE/>
              <w:autoSpaceDN/>
              <w:adjustRightInd/>
              <w:jc w:val="center"/>
              <w:textAlignment w:val="auto"/>
              <w:rPr>
                <w:rFonts w:ascii="Verdana" w:hAnsi="Verdana" w:cs="Calibri"/>
                <w:szCs w:val="18"/>
                <w:lang w:eastAsia="en-GB"/>
              </w:rPr>
            </w:pPr>
            <w:r w:rsidRPr="002671BE">
              <w:rPr>
                <w:rFonts w:ascii="Verdana" w:hAnsi="Verdana" w:cs="Calibri"/>
                <w:szCs w:val="18"/>
                <w:lang w:eastAsia="en-GB"/>
              </w:rPr>
              <w:t xml:space="preserve"> Net </w:t>
            </w:r>
          </w:p>
        </w:tc>
        <w:tc>
          <w:tcPr>
            <w:tcW w:w="940" w:type="dxa"/>
            <w:tcBorders>
              <w:top w:val="single" w:color="auto" w:sz="4" w:space="0"/>
              <w:left w:val="nil"/>
              <w:bottom w:val="nil"/>
              <w:right w:val="single" w:color="auto" w:sz="4" w:space="0"/>
            </w:tcBorders>
            <w:shd w:val="clear" w:color="000000" w:fill="000000"/>
            <w:noWrap/>
            <w:vAlign w:val="bottom"/>
            <w:hideMark/>
          </w:tcPr>
          <w:p w:rsidRPr="002671BE" w:rsidR="00FA64BE" w:rsidP="00FA64BE" w:rsidRDefault="00FA64BE">
            <w:pPr>
              <w:tabs>
                <w:tab w:val="left" w:pos="-3969"/>
              </w:tabs>
              <w:overflowPunct/>
              <w:autoSpaceDE/>
              <w:autoSpaceDN/>
              <w:adjustRightInd/>
              <w:jc w:val="center"/>
              <w:textAlignment w:val="auto"/>
              <w:rPr>
                <w:rFonts w:ascii="Verdana" w:hAnsi="Verdana" w:cs="Calibri"/>
                <w:szCs w:val="18"/>
                <w:lang w:eastAsia="en-GB"/>
              </w:rPr>
            </w:pPr>
            <w:r w:rsidRPr="002671BE">
              <w:rPr>
                <w:rFonts w:ascii="Verdana" w:hAnsi="Verdana" w:cs="Calibri"/>
                <w:szCs w:val="18"/>
                <w:lang w:eastAsia="en-GB"/>
              </w:rPr>
              <w:t>Net</w:t>
            </w:r>
          </w:p>
        </w:tc>
      </w:tr>
      <w:tr w:rsidRPr="002671BE" w:rsidR="00FA64BE" w:rsidTr="00FA64BE">
        <w:trPr>
          <w:trHeight w:val="225"/>
        </w:trPr>
        <w:tc>
          <w:tcPr>
            <w:tcW w:w="4300" w:type="dxa"/>
            <w:tcBorders>
              <w:top w:val="nil"/>
              <w:left w:val="nil"/>
              <w:bottom w:val="nil"/>
              <w:right w:val="nil"/>
            </w:tcBorders>
            <w:shd w:val="clear" w:color="auto" w:fill="auto"/>
            <w:noWrap/>
            <w:vAlign w:val="bottom"/>
            <w:hideMark/>
          </w:tcPr>
          <w:p w:rsidRPr="002671BE" w:rsidR="00FA64BE" w:rsidP="00FA64BE" w:rsidRDefault="00FA64BE">
            <w:pPr>
              <w:tabs>
                <w:tab w:val="left" w:pos="-3969"/>
              </w:tabs>
              <w:overflowPunct/>
              <w:autoSpaceDE/>
              <w:autoSpaceDN/>
              <w:adjustRightInd/>
              <w:jc w:val="left"/>
              <w:textAlignment w:val="auto"/>
              <w:rPr>
                <w:rFonts w:ascii="Verdana" w:hAnsi="Verdana" w:cs="Calibri"/>
                <w:szCs w:val="18"/>
                <w:lang w:eastAsia="en-GB"/>
              </w:rPr>
            </w:pPr>
          </w:p>
        </w:tc>
        <w:tc>
          <w:tcPr>
            <w:tcW w:w="880" w:type="dxa"/>
            <w:tcBorders>
              <w:top w:val="nil"/>
              <w:left w:val="single" w:color="auto" w:sz="4" w:space="0"/>
              <w:bottom w:val="single" w:color="auto" w:sz="4" w:space="0"/>
              <w:right w:val="single" w:color="auto" w:sz="4" w:space="0"/>
            </w:tcBorders>
            <w:shd w:val="clear" w:color="000000" w:fill="000000"/>
            <w:noWrap/>
            <w:vAlign w:val="bottom"/>
            <w:hideMark/>
          </w:tcPr>
          <w:p w:rsidRPr="002671BE" w:rsidR="00FA64BE" w:rsidP="00FA64BE" w:rsidRDefault="00FA64BE">
            <w:pPr>
              <w:tabs>
                <w:tab w:val="left" w:pos="-3969"/>
              </w:tabs>
              <w:overflowPunct/>
              <w:autoSpaceDE/>
              <w:autoSpaceDN/>
              <w:adjustRightInd/>
              <w:jc w:val="center"/>
              <w:textAlignment w:val="auto"/>
              <w:rPr>
                <w:rFonts w:ascii="Verdana" w:hAnsi="Verdana" w:cs="Calibri"/>
                <w:szCs w:val="18"/>
                <w:lang w:eastAsia="en-GB"/>
              </w:rPr>
            </w:pPr>
            <w:r w:rsidRPr="002671BE">
              <w:rPr>
                <w:rFonts w:ascii="Verdana" w:hAnsi="Verdana" w:cs="Calibri"/>
                <w:szCs w:val="18"/>
                <w:lang w:eastAsia="en-GB"/>
              </w:rPr>
              <w:t xml:space="preserve"> £(000) </w:t>
            </w:r>
          </w:p>
        </w:tc>
        <w:tc>
          <w:tcPr>
            <w:tcW w:w="1320" w:type="dxa"/>
            <w:tcBorders>
              <w:top w:val="nil"/>
              <w:left w:val="nil"/>
              <w:bottom w:val="single" w:color="auto" w:sz="4" w:space="0"/>
              <w:right w:val="nil"/>
            </w:tcBorders>
            <w:shd w:val="clear" w:color="000000" w:fill="000000"/>
            <w:noWrap/>
            <w:vAlign w:val="bottom"/>
            <w:hideMark/>
          </w:tcPr>
          <w:p w:rsidRPr="002671BE" w:rsidR="00FA64BE" w:rsidP="00FA64BE" w:rsidRDefault="00FA64BE">
            <w:pPr>
              <w:tabs>
                <w:tab w:val="left" w:pos="-3969"/>
              </w:tabs>
              <w:overflowPunct/>
              <w:autoSpaceDE/>
              <w:autoSpaceDN/>
              <w:adjustRightInd/>
              <w:jc w:val="center"/>
              <w:textAlignment w:val="auto"/>
              <w:rPr>
                <w:rFonts w:ascii="Verdana" w:hAnsi="Verdana" w:cs="Calibri"/>
                <w:szCs w:val="18"/>
                <w:lang w:eastAsia="en-GB"/>
              </w:rPr>
            </w:pPr>
            <w:r w:rsidRPr="002671BE">
              <w:rPr>
                <w:rFonts w:ascii="Verdana" w:hAnsi="Verdana" w:cs="Calibri"/>
                <w:szCs w:val="18"/>
                <w:lang w:eastAsia="en-GB"/>
              </w:rPr>
              <w:t xml:space="preserve"> £(000) </w:t>
            </w:r>
          </w:p>
        </w:tc>
        <w:tc>
          <w:tcPr>
            <w:tcW w:w="903" w:type="dxa"/>
            <w:tcBorders>
              <w:top w:val="nil"/>
              <w:left w:val="single" w:color="auto" w:sz="4" w:space="0"/>
              <w:bottom w:val="single" w:color="auto" w:sz="4" w:space="0"/>
              <w:right w:val="single" w:color="auto" w:sz="4" w:space="0"/>
            </w:tcBorders>
            <w:shd w:val="clear" w:color="000000" w:fill="000000"/>
            <w:noWrap/>
            <w:vAlign w:val="bottom"/>
            <w:hideMark/>
          </w:tcPr>
          <w:p w:rsidRPr="002671BE" w:rsidR="00FA64BE" w:rsidP="00FA64BE" w:rsidRDefault="00FA64BE">
            <w:pPr>
              <w:tabs>
                <w:tab w:val="left" w:pos="-3969"/>
              </w:tabs>
              <w:overflowPunct/>
              <w:autoSpaceDE/>
              <w:autoSpaceDN/>
              <w:adjustRightInd/>
              <w:jc w:val="center"/>
              <w:textAlignment w:val="auto"/>
              <w:rPr>
                <w:rFonts w:ascii="Verdana" w:hAnsi="Verdana" w:cs="Calibri"/>
                <w:szCs w:val="18"/>
                <w:lang w:eastAsia="en-GB"/>
              </w:rPr>
            </w:pPr>
            <w:r w:rsidRPr="002671BE">
              <w:rPr>
                <w:rFonts w:ascii="Verdana" w:hAnsi="Verdana" w:cs="Calibri"/>
                <w:szCs w:val="18"/>
                <w:lang w:eastAsia="en-GB"/>
              </w:rPr>
              <w:t xml:space="preserve"> £(000) </w:t>
            </w:r>
          </w:p>
        </w:tc>
        <w:tc>
          <w:tcPr>
            <w:tcW w:w="940" w:type="dxa"/>
            <w:tcBorders>
              <w:top w:val="nil"/>
              <w:left w:val="nil"/>
              <w:bottom w:val="single" w:color="auto" w:sz="4" w:space="0"/>
              <w:right w:val="single" w:color="auto" w:sz="4" w:space="0"/>
            </w:tcBorders>
            <w:shd w:val="clear" w:color="000000" w:fill="000000"/>
            <w:noWrap/>
            <w:vAlign w:val="bottom"/>
            <w:hideMark/>
          </w:tcPr>
          <w:p w:rsidRPr="002671BE" w:rsidR="00FA64BE" w:rsidP="00FA64BE" w:rsidRDefault="00FA64BE">
            <w:pPr>
              <w:tabs>
                <w:tab w:val="left" w:pos="-3969"/>
              </w:tabs>
              <w:overflowPunct/>
              <w:autoSpaceDE/>
              <w:autoSpaceDN/>
              <w:adjustRightInd/>
              <w:jc w:val="center"/>
              <w:textAlignment w:val="auto"/>
              <w:rPr>
                <w:rFonts w:ascii="Verdana" w:hAnsi="Verdana" w:cs="Calibri"/>
                <w:szCs w:val="18"/>
                <w:lang w:eastAsia="en-GB"/>
              </w:rPr>
            </w:pPr>
            <w:r w:rsidRPr="002671BE">
              <w:rPr>
                <w:rFonts w:ascii="Verdana" w:hAnsi="Verdana" w:cs="Calibri"/>
                <w:szCs w:val="18"/>
                <w:lang w:eastAsia="en-GB"/>
              </w:rPr>
              <w:t>% of pay</w:t>
            </w:r>
          </w:p>
        </w:tc>
      </w:tr>
      <w:tr w:rsidRPr="002671BE" w:rsidR="00FA64BE" w:rsidTr="00FA64BE">
        <w:trPr>
          <w:trHeight w:val="225"/>
        </w:trPr>
        <w:tc>
          <w:tcPr>
            <w:tcW w:w="4300" w:type="dxa"/>
            <w:tcBorders>
              <w:top w:val="single" w:color="auto" w:sz="4" w:space="0"/>
              <w:left w:val="single" w:color="auto" w:sz="4" w:space="0"/>
              <w:bottom w:val="nil"/>
              <w:right w:val="nil"/>
            </w:tcBorders>
            <w:shd w:val="clear" w:color="000000" w:fill="D9D9D9"/>
            <w:noWrap/>
            <w:vAlign w:val="bottom"/>
            <w:hideMark/>
          </w:tcPr>
          <w:p w:rsidRPr="002671BE" w:rsidR="00FA64BE" w:rsidP="00FA64BE" w:rsidRDefault="00FA64BE">
            <w:pPr>
              <w:tabs>
                <w:tab w:val="left" w:pos="-3969"/>
              </w:tabs>
              <w:overflowPunct/>
              <w:autoSpaceDE/>
              <w:autoSpaceDN/>
              <w:adjustRightInd/>
              <w:jc w:val="left"/>
              <w:textAlignment w:val="auto"/>
              <w:rPr>
                <w:rFonts w:ascii="Verdana" w:hAnsi="Verdana" w:cs="Calibri"/>
                <w:szCs w:val="18"/>
                <w:lang w:eastAsia="en-GB"/>
              </w:rPr>
            </w:pPr>
            <w:r w:rsidRPr="002671BE">
              <w:rPr>
                <w:rFonts w:ascii="Verdana" w:hAnsi="Verdana" w:cs="Calibri"/>
                <w:szCs w:val="18"/>
                <w:lang w:eastAsia="en-GB"/>
              </w:rPr>
              <w:t>Projected service cost</w:t>
            </w:r>
          </w:p>
        </w:tc>
        <w:tc>
          <w:tcPr>
            <w:tcW w:w="880" w:type="dxa"/>
            <w:tcBorders>
              <w:top w:val="nil"/>
              <w:left w:val="single" w:color="auto" w:sz="4" w:space="0"/>
              <w:bottom w:val="nil"/>
              <w:right w:val="single" w:color="auto" w:sz="4" w:space="0"/>
            </w:tcBorders>
            <w:shd w:val="clear" w:color="000000" w:fill="D9D9D9"/>
            <w:noWrap/>
            <w:vAlign w:val="bottom"/>
            <w:hideMark/>
          </w:tcPr>
          <w:p w:rsidRPr="002671BE" w:rsidR="00FA64BE" w:rsidP="00FA64BE" w:rsidRDefault="00FA64BE">
            <w:pPr>
              <w:tabs>
                <w:tab w:val="left" w:pos="-3969"/>
              </w:tabs>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0</w:t>
            </w:r>
          </w:p>
        </w:tc>
        <w:tc>
          <w:tcPr>
            <w:tcW w:w="1320" w:type="dxa"/>
            <w:tcBorders>
              <w:top w:val="nil"/>
              <w:left w:val="nil"/>
              <w:bottom w:val="nil"/>
              <w:right w:val="single" w:color="auto" w:sz="4" w:space="0"/>
            </w:tcBorders>
            <w:shd w:val="clear" w:color="000000" w:fill="D9D9D9"/>
            <w:noWrap/>
            <w:vAlign w:val="bottom"/>
            <w:hideMark/>
          </w:tcPr>
          <w:p w:rsidRPr="002671BE" w:rsidR="00FA64BE" w:rsidP="00C81967" w:rsidRDefault="001B5DC3">
            <w:pPr>
              <w:tabs>
                <w:tab w:val="left" w:pos="-3969"/>
              </w:tabs>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4,</w:t>
            </w:r>
            <w:r w:rsidR="00C81967">
              <w:rPr>
                <w:rFonts w:ascii="Verdana" w:hAnsi="Verdana" w:cs="Calibri"/>
                <w:szCs w:val="18"/>
                <w:lang w:eastAsia="en-GB"/>
              </w:rPr>
              <w:t>13</w:t>
            </w:r>
            <w:r w:rsidRPr="002671BE">
              <w:rPr>
                <w:rFonts w:ascii="Verdana" w:hAnsi="Verdana" w:cs="Calibri"/>
                <w:szCs w:val="18"/>
                <w:lang w:eastAsia="en-GB"/>
              </w:rPr>
              <w:t>2</w:t>
            </w:r>
          </w:p>
        </w:tc>
        <w:tc>
          <w:tcPr>
            <w:tcW w:w="903" w:type="dxa"/>
            <w:tcBorders>
              <w:top w:val="nil"/>
              <w:left w:val="nil"/>
              <w:bottom w:val="nil"/>
              <w:right w:val="single" w:color="auto" w:sz="4" w:space="0"/>
            </w:tcBorders>
            <w:shd w:val="clear" w:color="000000" w:fill="D9D9D9"/>
            <w:noWrap/>
            <w:vAlign w:val="bottom"/>
            <w:hideMark/>
          </w:tcPr>
          <w:p w:rsidRPr="002671BE" w:rsidR="00FA64BE" w:rsidP="00C81967" w:rsidRDefault="00FA64BE">
            <w:pPr>
              <w:tabs>
                <w:tab w:val="left" w:pos="-3969"/>
              </w:tabs>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w:t>
            </w:r>
            <w:r w:rsidRPr="002671BE" w:rsidR="001B5DC3">
              <w:rPr>
                <w:rFonts w:ascii="Verdana" w:hAnsi="Verdana" w:cs="Calibri"/>
                <w:szCs w:val="18"/>
                <w:lang w:eastAsia="en-GB"/>
              </w:rPr>
              <w:t>4,</w:t>
            </w:r>
            <w:r w:rsidR="00C81967">
              <w:rPr>
                <w:rFonts w:ascii="Verdana" w:hAnsi="Verdana" w:cs="Calibri"/>
                <w:szCs w:val="18"/>
                <w:lang w:eastAsia="en-GB"/>
              </w:rPr>
              <w:t>13</w:t>
            </w:r>
            <w:r w:rsidRPr="002671BE" w:rsidR="001B5DC3">
              <w:rPr>
                <w:rFonts w:ascii="Verdana" w:hAnsi="Verdana" w:cs="Calibri"/>
                <w:szCs w:val="18"/>
                <w:lang w:eastAsia="en-GB"/>
              </w:rPr>
              <w:t>2</w:t>
            </w:r>
            <w:r w:rsidRPr="002671BE">
              <w:rPr>
                <w:rFonts w:ascii="Verdana" w:hAnsi="Verdana" w:cs="Calibri"/>
                <w:szCs w:val="18"/>
                <w:lang w:eastAsia="en-GB"/>
              </w:rPr>
              <w:t>)</w:t>
            </w:r>
          </w:p>
        </w:tc>
        <w:tc>
          <w:tcPr>
            <w:tcW w:w="940" w:type="dxa"/>
            <w:tcBorders>
              <w:top w:val="nil"/>
              <w:left w:val="nil"/>
              <w:bottom w:val="nil"/>
              <w:right w:val="single" w:color="auto" w:sz="4" w:space="0"/>
            </w:tcBorders>
            <w:shd w:val="clear" w:color="000000" w:fill="D9D9D9"/>
            <w:noWrap/>
            <w:vAlign w:val="bottom"/>
            <w:hideMark/>
          </w:tcPr>
          <w:p w:rsidRPr="00AD7A14" w:rsidR="00FA64BE" w:rsidP="00AD7A14" w:rsidRDefault="00FA64BE">
            <w:pPr>
              <w:tabs>
                <w:tab w:val="left" w:pos="-3969"/>
              </w:tabs>
              <w:overflowPunct/>
              <w:autoSpaceDE/>
              <w:autoSpaceDN/>
              <w:adjustRightInd/>
              <w:jc w:val="center"/>
              <w:textAlignment w:val="auto"/>
              <w:rPr>
                <w:rFonts w:ascii="Verdana" w:hAnsi="Verdana"/>
                <w:szCs w:val="18"/>
              </w:rPr>
            </w:pPr>
            <w:r w:rsidRPr="00AD7A14">
              <w:rPr>
                <w:rFonts w:ascii="Verdana" w:hAnsi="Verdana"/>
                <w:szCs w:val="18"/>
              </w:rPr>
              <w:t>-</w:t>
            </w:r>
            <w:r w:rsidRPr="00AD7A14" w:rsidR="001B5DC3">
              <w:rPr>
                <w:rFonts w:ascii="Verdana" w:hAnsi="Verdana"/>
                <w:szCs w:val="18"/>
              </w:rPr>
              <w:t>3</w:t>
            </w:r>
            <w:r w:rsidRPr="00AD7A14" w:rsidR="00AD7A14">
              <w:rPr>
                <w:rFonts w:ascii="Verdana" w:hAnsi="Verdana"/>
                <w:szCs w:val="18"/>
              </w:rPr>
              <w:t>7</w:t>
            </w:r>
            <w:r w:rsidRPr="00AD7A14" w:rsidR="001B5DC3">
              <w:rPr>
                <w:rFonts w:ascii="Verdana" w:hAnsi="Verdana"/>
                <w:szCs w:val="18"/>
              </w:rPr>
              <w:t>.</w:t>
            </w:r>
            <w:r w:rsidRPr="00AD7A14" w:rsidR="00AD7A14">
              <w:rPr>
                <w:rFonts w:ascii="Verdana" w:hAnsi="Verdana"/>
                <w:szCs w:val="18"/>
              </w:rPr>
              <w:t>1</w:t>
            </w:r>
            <w:r w:rsidRPr="00AD7A14">
              <w:rPr>
                <w:rFonts w:ascii="Verdana" w:hAnsi="Verdana"/>
                <w:szCs w:val="18"/>
              </w:rPr>
              <w:t>%</w:t>
            </w:r>
          </w:p>
        </w:tc>
      </w:tr>
      <w:tr w:rsidRPr="002671BE" w:rsidR="00FA64BE" w:rsidTr="00FA64BE">
        <w:trPr>
          <w:trHeight w:val="225"/>
        </w:trPr>
        <w:tc>
          <w:tcPr>
            <w:tcW w:w="4300" w:type="dxa"/>
            <w:tcBorders>
              <w:top w:val="nil"/>
              <w:left w:val="single" w:color="auto" w:sz="4" w:space="0"/>
              <w:bottom w:val="nil"/>
              <w:right w:val="nil"/>
            </w:tcBorders>
            <w:shd w:val="clear" w:color="000000" w:fill="D9D9D9"/>
            <w:noWrap/>
            <w:vAlign w:val="bottom"/>
            <w:hideMark/>
          </w:tcPr>
          <w:p w:rsidRPr="002671BE" w:rsidR="00FA64BE" w:rsidP="00FA64BE" w:rsidRDefault="00FA64BE">
            <w:pPr>
              <w:tabs>
                <w:tab w:val="left" w:pos="-3969"/>
              </w:tabs>
              <w:overflowPunct/>
              <w:autoSpaceDE/>
              <w:autoSpaceDN/>
              <w:adjustRightInd/>
              <w:jc w:val="left"/>
              <w:textAlignment w:val="auto"/>
              <w:rPr>
                <w:rFonts w:ascii="Verdana" w:hAnsi="Verdana" w:cs="Calibri"/>
                <w:szCs w:val="18"/>
                <w:lang w:eastAsia="en-GB"/>
              </w:rPr>
            </w:pPr>
            <w:r w:rsidRPr="002671BE">
              <w:rPr>
                <w:rFonts w:ascii="Verdana" w:hAnsi="Verdana" w:cs="Calibri"/>
                <w:szCs w:val="18"/>
                <w:lang w:eastAsia="en-GB"/>
              </w:rPr>
              <w:t>Past service cost including curtailments</w:t>
            </w:r>
          </w:p>
        </w:tc>
        <w:tc>
          <w:tcPr>
            <w:tcW w:w="880" w:type="dxa"/>
            <w:tcBorders>
              <w:top w:val="nil"/>
              <w:left w:val="single" w:color="auto" w:sz="4" w:space="0"/>
              <w:bottom w:val="nil"/>
              <w:right w:val="single" w:color="auto" w:sz="4" w:space="0"/>
            </w:tcBorders>
            <w:shd w:val="clear" w:color="000000" w:fill="D9D9D9"/>
            <w:noWrap/>
            <w:vAlign w:val="bottom"/>
            <w:hideMark/>
          </w:tcPr>
          <w:p w:rsidRPr="002671BE" w:rsidR="00FA64BE" w:rsidP="00FA64BE" w:rsidRDefault="00FA64BE">
            <w:pPr>
              <w:tabs>
                <w:tab w:val="left" w:pos="-3969"/>
              </w:tabs>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0</w:t>
            </w:r>
          </w:p>
        </w:tc>
        <w:tc>
          <w:tcPr>
            <w:tcW w:w="1320" w:type="dxa"/>
            <w:tcBorders>
              <w:top w:val="nil"/>
              <w:left w:val="nil"/>
              <w:bottom w:val="nil"/>
              <w:right w:val="single" w:color="auto" w:sz="4" w:space="0"/>
            </w:tcBorders>
            <w:shd w:val="clear" w:color="000000" w:fill="D9D9D9"/>
            <w:noWrap/>
            <w:vAlign w:val="bottom"/>
            <w:hideMark/>
          </w:tcPr>
          <w:p w:rsidRPr="002671BE" w:rsidR="00FA64BE" w:rsidP="00C81967" w:rsidRDefault="00C81967">
            <w:pPr>
              <w:tabs>
                <w:tab w:val="left" w:pos="-3969"/>
              </w:tabs>
              <w:overflowPunct/>
              <w:autoSpaceDE/>
              <w:autoSpaceDN/>
              <w:adjustRightInd/>
              <w:jc w:val="right"/>
              <w:textAlignment w:val="auto"/>
              <w:rPr>
                <w:rFonts w:ascii="Verdana" w:hAnsi="Verdana" w:cs="Calibri"/>
                <w:szCs w:val="18"/>
                <w:lang w:eastAsia="en-GB"/>
              </w:rPr>
            </w:pPr>
            <w:r>
              <w:rPr>
                <w:rFonts w:ascii="Verdana" w:hAnsi="Verdana" w:cs="Calibri"/>
                <w:szCs w:val="18"/>
                <w:lang w:eastAsia="en-GB"/>
              </w:rPr>
              <w:t>0</w:t>
            </w:r>
          </w:p>
        </w:tc>
        <w:tc>
          <w:tcPr>
            <w:tcW w:w="903" w:type="dxa"/>
            <w:tcBorders>
              <w:top w:val="nil"/>
              <w:left w:val="nil"/>
              <w:bottom w:val="nil"/>
              <w:right w:val="single" w:color="auto" w:sz="4" w:space="0"/>
            </w:tcBorders>
            <w:shd w:val="clear" w:color="000000" w:fill="D9D9D9"/>
            <w:noWrap/>
            <w:vAlign w:val="bottom"/>
            <w:hideMark/>
          </w:tcPr>
          <w:p w:rsidRPr="002671BE" w:rsidR="00FA64BE" w:rsidP="00C81967" w:rsidRDefault="00C81967">
            <w:pPr>
              <w:tabs>
                <w:tab w:val="left" w:pos="-3969"/>
              </w:tabs>
              <w:overflowPunct/>
              <w:autoSpaceDE/>
              <w:autoSpaceDN/>
              <w:adjustRightInd/>
              <w:jc w:val="right"/>
              <w:textAlignment w:val="auto"/>
              <w:rPr>
                <w:rFonts w:ascii="Verdana" w:hAnsi="Verdana" w:cs="Calibri"/>
                <w:szCs w:val="18"/>
                <w:lang w:eastAsia="en-GB"/>
              </w:rPr>
            </w:pPr>
            <w:r>
              <w:rPr>
                <w:rFonts w:ascii="Verdana" w:hAnsi="Verdana" w:cs="Calibri"/>
                <w:szCs w:val="18"/>
                <w:lang w:eastAsia="en-GB"/>
              </w:rPr>
              <w:t>0</w:t>
            </w:r>
          </w:p>
        </w:tc>
        <w:tc>
          <w:tcPr>
            <w:tcW w:w="940" w:type="dxa"/>
            <w:tcBorders>
              <w:top w:val="nil"/>
              <w:left w:val="nil"/>
              <w:bottom w:val="nil"/>
              <w:right w:val="single" w:color="auto" w:sz="4" w:space="0"/>
            </w:tcBorders>
            <w:shd w:val="clear" w:color="000000" w:fill="D9D9D9"/>
            <w:noWrap/>
            <w:vAlign w:val="bottom"/>
            <w:hideMark/>
          </w:tcPr>
          <w:p w:rsidRPr="00AD7A14" w:rsidR="00FA64BE" w:rsidP="00FA64BE" w:rsidRDefault="00FA64BE">
            <w:pPr>
              <w:tabs>
                <w:tab w:val="left" w:pos="-3969"/>
              </w:tabs>
              <w:overflowPunct/>
              <w:autoSpaceDE/>
              <w:autoSpaceDN/>
              <w:adjustRightInd/>
              <w:jc w:val="center"/>
              <w:textAlignment w:val="auto"/>
              <w:rPr>
                <w:rFonts w:ascii="Verdana" w:hAnsi="Verdana"/>
                <w:szCs w:val="18"/>
              </w:rPr>
            </w:pPr>
            <w:r w:rsidRPr="00AD7A14">
              <w:rPr>
                <w:rFonts w:ascii="Verdana" w:hAnsi="Verdana"/>
                <w:szCs w:val="18"/>
              </w:rPr>
              <w:t xml:space="preserve">          -   </w:t>
            </w:r>
          </w:p>
        </w:tc>
      </w:tr>
      <w:tr w:rsidRPr="002671BE" w:rsidR="00FA64BE" w:rsidTr="00FA64BE">
        <w:trPr>
          <w:trHeight w:val="225"/>
        </w:trPr>
        <w:tc>
          <w:tcPr>
            <w:tcW w:w="4300" w:type="dxa"/>
            <w:tcBorders>
              <w:top w:val="nil"/>
              <w:left w:val="single" w:color="auto" w:sz="4" w:space="0"/>
              <w:bottom w:val="single" w:color="auto" w:sz="4" w:space="0"/>
              <w:right w:val="nil"/>
            </w:tcBorders>
            <w:shd w:val="clear" w:color="000000" w:fill="D9D9D9"/>
            <w:noWrap/>
            <w:vAlign w:val="bottom"/>
            <w:hideMark/>
          </w:tcPr>
          <w:p w:rsidRPr="002671BE" w:rsidR="00FA64BE" w:rsidP="00FA64BE" w:rsidRDefault="00FA64BE">
            <w:pPr>
              <w:tabs>
                <w:tab w:val="left" w:pos="-3969"/>
              </w:tabs>
              <w:overflowPunct/>
              <w:autoSpaceDE/>
              <w:autoSpaceDN/>
              <w:adjustRightInd/>
              <w:jc w:val="left"/>
              <w:textAlignment w:val="auto"/>
              <w:rPr>
                <w:rFonts w:ascii="Verdana" w:hAnsi="Verdana" w:cs="Calibri"/>
                <w:szCs w:val="18"/>
                <w:lang w:eastAsia="en-GB"/>
              </w:rPr>
            </w:pPr>
            <w:r w:rsidRPr="002671BE">
              <w:rPr>
                <w:rFonts w:ascii="Verdana" w:hAnsi="Verdana" w:cs="Calibri"/>
                <w:szCs w:val="18"/>
                <w:lang w:eastAsia="en-GB"/>
              </w:rPr>
              <w:t>Effect of settlements</w:t>
            </w:r>
          </w:p>
        </w:tc>
        <w:tc>
          <w:tcPr>
            <w:tcW w:w="880" w:type="dxa"/>
            <w:tcBorders>
              <w:top w:val="nil"/>
              <w:left w:val="single" w:color="auto" w:sz="4" w:space="0"/>
              <w:bottom w:val="single" w:color="auto" w:sz="4" w:space="0"/>
              <w:right w:val="single" w:color="auto" w:sz="4" w:space="0"/>
            </w:tcBorders>
            <w:shd w:val="clear" w:color="000000" w:fill="D9D9D9"/>
            <w:noWrap/>
            <w:vAlign w:val="bottom"/>
            <w:hideMark/>
          </w:tcPr>
          <w:p w:rsidRPr="002671BE" w:rsidR="00FA64BE" w:rsidP="00FA64BE" w:rsidRDefault="00FA64BE">
            <w:pPr>
              <w:tabs>
                <w:tab w:val="left" w:pos="-3969"/>
              </w:tabs>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0</w:t>
            </w:r>
          </w:p>
        </w:tc>
        <w:tc>
          <w:tcPr>
            <w:tcW w:w="1320" w:type="dxa"/>
            <w:tcBorders>
              <w:top w:val="nil"/>
              <w:left w:val="nil"/>
              <w:bottom w:val="single" w:color="auto" w:sz="4" w:space="0"/>
              <w:right w:val="single" w:color="auto" w:sz="4" w:space="0"/>
            </w:tcBorders>
            <w:shd w:val="clear" w:color="000000" w:fill="D9D9D9"/>
            <w:noWrap/>
            <w:vAlign w:val="bottom"/>
            <w:hideMark/>
          </w:tcPr>
          <w:p w:rsidRPr="002671BE" w:rsidR="00FA64BE" w:rsidP="00FA64BE" w:rsidRDefault="00FA64BE">
            <w:pPr>
              <w:tabs>
                <w:tab w:val="left" w:pos="-3969"/>
              </w:tabs>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0</w:t>
            </w:r>
          </w:p>
        </w:tc>
        <w:tc>
          <w:tcPr>
            <w:tcW w:w="903" w:type="dxa"/>
            <w:tcBorders>
              <w:top w:val="nil"/>
              <w:left w:val="nil"/>
              <w:bottom w:val="single" w:color="auto" w:sz="4" w:space="0"/>
              <w:right w:val="single" w:color="auto" w:sz="4" w:space="0"/>
            </w:tcBorders>
            <w:shd w:val="clear" w:color="000000" w:fill="D9D9D9"/>
            <w:noWrap/>
            <w:vAlign w:val="bottom"/>
            <w:hideMark/>
          </w:tcPr>
          <w:p w:rsidRPr="002671BE" w:rsidR="00FA64BE" w:rsidP="00FA64BE" w:rsidRDefault="00FA64BE">
            <w:pPr>
              <w:tabs>
                <w:tab w:val="left" w:pos="-3969"/>
              </w:tabs>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0</w:t>
            </w:r>
          </w:p>
        </w:tc>
        <w:tc>
          <w:tcPr>
            <w:tcW w:w="940" w:type="dxa"/>
            <w:tcBorders>
              <w:top w:val="nil"/>
              <w:left w:val="nil"/>
              <w:bottom w:val="single" w:color="auto" w:sz="4" w:space="0"/>
              <w:right w:val="single" w:color="auto" w:sz="4" w:space="0"/>
            </w:tcBorders>
            <w:shd w:val="clear" w:color="000000" w:fill="D9D9D9"/>
            <w:noWrap/>
            <w:vAlign w:val="bottom"/>
            <w:hideMark/>
          </w:tcPr>
          <w:p w:rsidRPr="00AD7A14" w:rsidR="00FA64BE" w:rsidP="00FA64BE" w:rsidRDefault="00FA64BE">
            <w:pPr>
              <w:tabs>
                <w:tab w:val="left" w:pos="-3969"/>
              </w:tabs>
              <w:overflowPunct/>
              <w:autoSpaceDE/>
              <w:autoSpaceDN/>
              <w:adjustRightInd/>
              <w:jc w:val="center"/>
              <w:textAlignment w:val="auto"/>
              <w:rPr>
                <w:rFonts w:ascii="Verdana" w:hAnsi="Verdana"/>
                <w:szCs w:val="18"/>
              </w:rPr>
            </w:pPr>
            <w:r w:rsidRPr="00AD7A14">
              <w:rPr>
                <w:rFonts w:ascii="Verdana" w:hAnsi="Verdana"/>
                <w:szCs w:val="18"/>
              </w:rPr>
              <w:t xml:space="preserve">          -   </w:t>
            </w:r>
          </w:p>
        </w:tc>
      </w:tr>
      <w:tr w:rsidRPr="002671BE" w:rsidR="00FA64BE" w:rsidTr="00FA64BE">
        <w:trPr>
          <w:trHeight w:val="225"/>
        </w:trPr>
        <w:tc>
          <w:tcPr>
            <w:tcW w:w="4300" w:type="dxa"/>
            <w:tcBorders>
              <w:top w:val="nil"/>
              <w:left w:val="single" w:color="auto" w:sz="4" w:space="0"/>
              <w:bottom w:val="single" w:color="auto" w:sz="4" w:space="0"/>
              <w:right w:val="nil"/>
            </w:tcBorders>
            <w:shd w:val="clear" w:color="000000" w:fill="D9D9D9"/>
            <w:noWrap/>
            <w:vAlign w:val="bottom"/>
            <w:hideMark/>
          </w:tcPr>
          <w:p w:rsidRPr="002671BE" w:rsidR="00FA64BE" w:rsidP="00FA64BE" w:rsidRDefault="00FA64BE">
            <w:pPr>
              <w:tabs>
                <w:tab w:val="left" w:pos="-3969"/>
              </w:tabs>
              <w:overflowPunct/>
              <w:autoSpaceDE/>
              <w:autoSpaceDN/>
              <w:adjustRightInd/>
              <w:jc w:val="left"/>
              <w:textAlignment w:val="auto"/>
              <w:rPr>
                <w:rFonts w:ascii="Verdana" w:hAnsi="Verdana" w:cs="Calibri"/>
                <w:szCs w:val="18"/>
                <w:lang w:eastAsia="en-GB"/>
              </w:rPr>
            </w:pPr>
            <w:r w:rsidRPr="002671BE">
              <w:rPr>
                <w:rFonts w:ascii="Verdana" w:hAnsi="Verdana" w:cs="Calibri"/>
                <w:szCs w:val="18"/>
                <w:lang w:eastAsia="en-GB"/>
              </w:rPr>
              <w:t>Total Service Cost</w:t>
            </w:r>
          </w:p>
        </w:tc>
        <w:tc>
          <w:tcPr>
            <w:tcW w:w="880" w:type="dxa"/>
            <w:tcBorders>
              <w:top w:val="nil"/>
              <w:left w:val="single" w:color="auto" w:sz="4" w:space="0"/>
              <w:bottom w:val="single" w:color="auto" w:sz="4" w:space="0"/>
              <w:right w:val="single" w:color="auto" w:sz="4" w:space="0"/>
            </w:tcBorders>
            <w:shd w:val="clear" w:color="000000" w:fill="D9D9D9"/>
            <w:noWrap/>
            <w:vAlign w:val="bottom"/>
            <w:hideMark/>
          </w:tcPr>
          <w:p w:rsidRPr="002671BE" w:rsidR="00FA64BE" w:rsidP="00FA64BE" w:rsidRDefault="00FA64BE">
            <w:pPr>
              <w:tabs>
                <w:tab w:val="left" w:pos="-3969"/>
              </w:tabs>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0</w:t>
            </w:r>
          </w:p>
        </w:tc>
        <w:tc>
          <w:tcPr>
            <w:tcW w:w="1320" w:type="dxa"/>
            <w:tcBorders>
              <w:top w:val="nil"/>
              <w:left w:val="nil"/>
              <w:bottom w:val="single" w:color="auto" w:sz="4" w:space="0"/>
              <w:right w:val="single" w:color="auto" w:sz="4" w:space="0"/>
            </w:tcBorders>
            <w:shd w:val="clear" w:color="000000" w:fill="D9D9D9"/>
            <w:noWrap/>
            <w:vAlign w:val="bottom"/>
            <w:hideMark/>
          </w:tcPr>
          <w:p w:rsidRPr="002671BE" w:rsidR="00FA64BE" w:rsidP="00C81967" w:rsidRDefault="001B5DC3">
            <w:pPr>
              <w:tabs>
                <w:tab w:val="left" w:pos="-3969"/>
              </w:tabs>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4,</w:t>
            </w:r>
            <w:r w:rsidR="00C81967">
              <w:rPr>
                <w:rFonts w:ascii="Verdana" w:hAnsi="Verdana" w:cs="Calibri"/>
                <w:szCs w:val="18"/>
                <w:lang w:eastAsia="en-GB"/>
              </w:rPr>
              <w:t>13</w:t>
            </w:r>
            <w:r w:rsidRPr="002671BE">
              <w:rPr>
                <w:rFonts w:ascii="Verdana" w:hAnsi="Verdana" w:cs="Calibri"/>
                <w:szCs w:val="18"/>
                <w:lang w:eastAsia="en-GB"/>
              </w:rPr>
              <w:t>2</w:t>
            </w:r>
          </w:p>
        </w:tc>
        <w:tc>
          <w:tcPr>
            <w:tcW w:w="903" w:type="dxa"/>
            <w:tcBorders>
              <w:top w:val="nil"/>
              <w:left w:val="nil"/>
              <w:bottom w:val="single" w:color="auto" w:sz="4" w:space="0"/>
              <w:right w:val="single" w:color="auto" w:sz="4" w:space="0"/>
            </w:tcBorders>
            <w:shd w:val="clear" w:color="000000" w:fill="D9D9D9"/>
            <w:noWrap/>
            <w:vAlign w:val="bottom"/>
            <w:hideMark/>
          </w:tcPr>
          <w:p w:rsidRPr="002671BE" w:rsidR="00FA64BE" w:rsidP="00C81967" w:rsidRDefault="001B5DC3">
            <w:pPr>
              <w:tabs>
                <w:tab w:val="left" w:pos="-3969"/>
              </w:tabs>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(4,</w:t>
            </w:r>
            <w:r w:rsidR="00C81967">
              <w:rPr>
                <w:rFonts w:ascii="Verdana" w:hAnsi="Verdana" w:cs="Calibri"/>
                <w:szCs w:val="18"/>
                <w:lang w:eastAsia="en-GB"/>
              </w:rPr>
              <w:t>13</w:t>
            </w:r>
            <w:r w:rsidRPr="002671BE">
              <w:rPr>
                <w:rFonts w:ascii="Verdana" w:hAnsi="Verdana" w:cs="Calibri"/>
                <w:szCs w:val="18"/>
                <w:lang w:eastAsia="en-GB"/>
              </w:rPr>
              <w:t>2</w:t>
            </w:r>
            <w:r w:rsidRPr="002671BE" w:rsidR="00FA64BE">
              <w:rPr>
                <w:rFonts w:ascii="Verdana" w:hAnsi="Verdana" w:cs="Calibri"/>
                <w:szCs w:val="18"/>
                <w:lang w:eastAsia="en-GB"/>
              </w:rPr>
              <w:t>)</w:t>
            </w:r>
          </w:p>
        </w:tc>
        <w:tc>
          <w:tcPr>
            <w:tcW w:w="940" w:type="dxa"/>
            <w:tcBorders>
              <w:top w:val="nil"/>
              <w:left w:val="nil"/>
              <w:bottom w:val="single" w:color="auto" w:sz="4" w:space="0"/>
              <w:right w:val="single" w:color="auto" w:sz="4" w:space="0"/>
            </w:tcBorders>
            <w:shd w:val="clear" w:color="000000" w:fill="D9D9D9"/>
            <w:noWrap/>
            <w:vAlign w:val="bottom"/>
            <w:hideMark/>
          </w:tcPr>
          <w:p w:rsidRPr="00AD7A14" w:rsidR="00FA64BE" w:rsidP="00AD7A14" w:rsidRDefault="001B5DC3">
            <w:pPr>
              <w:tabs>
                <w:tab w:val="left" w:pos="-3969"/>
              </w:tabs>
              <w:overflowPunct/>
              <w:autoSpaceDE/>
              <w:autoSpaceDN/>
              <w:adjustRightInd/>
              <w:jc w:val="center"/>
              <w:textAlignment w:val="auto"/>
              <w:rPr>
                <w:rFonts w:ascii="Verdana" w:hAnsi="Verdana"/>
                <w:szCs w:val="18"/>
              </w:rPr>
            </w:pPr>
            <w:r w:rsidRPr="00AD7A14">
              <w:rPr>
                <w:rFonts w:ascii="Verdana" w:hAnsi="Verdana"/>
                <w:szCs w:val="18"/>
              </w:rPr>
              <w:t>-3</w:t>
            </w:r>
            <w:r w:rsidRPr="00AD7A14" w:rsidR="00AD7A14">
              <w:rPr>
                <w:rFonts w:ascii="Verdana" w:hAnsi="Verdana"/>
                <w:szCs w:val="18"/>
              </w:rPr>
              <w:t>7</w:t>
            </w:r>
            <w:r w:rsidRPr="00AD7A14">
              <w:rPr>
                <w:rFonts w:ascii="Verdana" w:hAnsi="Verdana"/>
                <w:szCs w:val="18"/>
              </w:rPr>
              <w:t>.</w:t>
            </w:r>
            <w:r w:rsidRPr="00AD7A14" w:rsidR="00AD7A14">
              <w:rPr>
                <w:rFonts w:ascii="Verdana" w:hAnsi="Verdana"/>
                <w:szCs w:val="18"/>
              </w:rPr>
              <w:t>1</w:t>
            </w:r>
            <w:r w:rsidRPr="00AD7A14" w:rsidR="00FA64BE">
              <w:rPr>
                <w:rFonts w:ascii="Verdana" w:hAnsi="Verdana"/>
                <w:szCs w:val="18"/>
              </w:rPr>
              <w:t>%</w:t>
            </w:r>
          </w:p>
        </w:tc>
      </w:tr>
      <w:tr w:rsidRPr="002671BE" w:rsidR="00FA64BE" w:rsidTr="00FA64BE">
        <w:trPr>
          <w:trHeight w:val="225"/>
        </w:trPr>
        <w:tc>
          <w:tcPr>
            <w:tcW w:w="4300" w:type="dxa"/>
            <w:tcBorders>
              <w:top w:val="nil"/>
              <w:left w:val="single" w:color="auto" w:sz="4" w:space="0"/>
              <w:bottom w:val="nil"/>
              <w:right w:val="nil"/>
            </w:tcBorders>
            <w:shd w:val="clear" w:color="000000" w:fill="D9D9D9"/>
            <w:noWrap/>
            <w:vAlign w:val="bottom"/>
            <w:hideMark/>
          </w:tcPr>
          <w:p w:rsidRPr="002671BE" w:rsidR="00FA64BE" w:rsidP="00FA64BE" w:rsidRDefault="00FA64BE">
            <w:pPr>
              <w:tabs>
                <w:tab w:val="left" w:pos="-3969"/>
              </w:tabs>
              <w:overflowPunct/>
              <w:autoSpaceDE/>
              <w:autoSpaceDN/>
              <w:adjustRightInd/>
              <w:jc w:val="left"/>
              <w:textAlignment w:val="auto"/>
              <w:rPr>
                <w:rFonts w:ascii="Verdana" w:hAnsi="Verdana" w:cs="Calibri"/>
                <w:szCs w:val="18"/>
                <w:lang w:eastAsia="en-GB"/>
              </w:rPr>
            </w:pPr>
            <w:r w:rsidRPr="002671BE">
              <w:rPr>
                <w:rFonts w:ascii="Verdana" w:hAnsi="Verdana" w:cs="Calibri"/>
                <w:szCs w:val="18"/>
                <w:lang w:eastAsia="en-GB"/>
              </w:rPr>
              <w:t>Interest income on plan assets</w:t>
            </w:r>
          </w:p>
        </w:tc>
        <w:tc>
          <w:tcPr>
            <w:tcW w:w="880" w:type="dxa"/>
            <w:tcBorders>
              <w:top w:val="nil"/>
              <w:left w:val="single" w:color="auto" w:sz="4" w:space="0"/>
              <w:bottom w:val="nil"/>
              <w:right w:val="single" w:color="auto" w:sz="4" w:space="0"/>
            </w:tcBorders>
            <w:shd w:val="clear" w:color="000000" w:fill="D9D9D9"/>
            <w:noWrap/>
            <w:vAlign w:val="bottom"/>
            <w:hideMark/>
          </w:tcPr>
          <w:p w:rsidRPr="002671BE" w:rsidR="00FA64BE" w:rsidP="0018277D" w:rsidRDefault="001B5DC3">
            <w:pPr>
              <w:tabs>
                <w:tab w:val="left" w:pos="-3969"/>
              </w:tabs>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2,</w:t>
            </w:r>
            <w:r w:rsidR="00C81967">
              <w:rPr>
                <w:rFonts w:ascii="Verdana" w:hAnsi="Verdana" w:cs="Calibri"/>
                <w:szCs w:val="18"/>
                <w:lang w:eastAsia="en-GB"/>
              </w:rPr>
              <w:t>806</w:t>
            </w:r>
          </w:p>
        </w:tc>
        <w:tc>
          <w:tcPr>
            <w:tcW w:w="1320" w:type="dxa"/>
            <w:tcBorders>
              <w:top w:val="nil"/>
              <w:left w:val="nil"/>
              <w:bottom w:val="nil"/>
              <w:right w:val="single" w:color="auto" w:sz="4" w:space="0"/>
            </w:tcBorders>
            <w:shd w:val="clear" w:color="000000" w:fill="D9D9D9"/>
            <w:noWrap/>
            <w:vAlign w:val="bottom"/>
            <w:hideMark/>
          </w:tcPr>
          <w:p w:rsidRPr="002671BE" w:rsidR="00FA64BE" w:rsidP="00FA64BE" w:rsidRDefault="00FA64BE">
            <w:pPr>
              <w:tabs>
                <w:tab w:val="left" w:pos="-3969"/>
              </w:tabs>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c>
          <w:tcPr>
            <w:tcW w:w="903" w:type="dxa"/>
            <w:tcBorders>
              <w:top w:val="nil"/>
              <w:left w:val="nil"/>
              <w:bottom w:val="nil"/>
              <w:right w:val="single" w:color="auto" w:sz="4" w:space="0"/>
            </w:tcBorders>
            <w:shd w:val="clear" w:color="000000" w:fill="D9D9D9"/>
            <w:noWrap/>
            <w:vAlign w:val="bottom"/>
            <w:hideMark/>
          </w:tcPr>
          <w:p w:rsidRPr="002671BE" w:rsidR="00FA64BE" w:rsidP="00C81967" w:rsidRDefault="001B5DC3">
            <w:pPr>
              <w:tabs>
                <w:tab w:val="left" w:pos="-3969"/>
              </w:tabs>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2,</w:t>
            </w:r>
            <w:r w:rsidR="00C81967">
              <w:rPr>
                <w:rFonts w:ascii="Verdana" w:hAnsi="Verdana" w:cs="Calibri"/>
                <w:szCs w:val="18"/>
                <w:lang w:eastAsia="en-GB"/>
              </w:rPr>
              <w:t>806</w:t>
            </w:r>
          </w:p>
        </w:tc>
        <w:tc>
          <w:tcPr>
            <w:tcW w:w="940" w:type="dxa"/>
            <w:tcBorders>
              <w:top w:val="nil"/>
              <w:left w:val="nil"/>
              <w:bottom w:val="nil"/>
              <w:right w:val="single" w:color="auto" w:sz="4" w:space="0"/>
            </w:tcBorders>
            <w:shd w:val="clear" w:color="000000" w:fill="D9D9D9"/>
            <w:noWrap/>
            <w:vAlign w:val="bottom"/>
            <w:hideMark/>
          </w:tcPr>
          <w:p w:rsidRPr="00AD7A14" w:rsidR="00FA64BE" w:rsidP="00AD7A14" w:rsidRDefault="001B5DC3">
            <w:pPr>
              <w:tabs>
                <w:tab w:val="left" w:pos="-3969"/>
              </w:tabs>
              <w:overflowPunct/>
              <w:autoSpaceDE/>
              <w:autoSpaceDN/>
              <w:adjustRightInd/>
              <w:jc w:val="right"/>
              <w:textAlignment w:val="auto"/>
              <w:rPr>
                <w:rFonts w:ascii="Verdana" w:hAnsi="Verdana" w:cs="Calibri"/>
                <w:szCs w:val="18"/>
                <w:lang w:eastAsia="en-GB"/>
              </w:rPr>
            </w:pPr>
            <w:r w:rsidRPr="00AD7A14">
              <w:rPr>
                <w:rFonts w:ascii="Verdana" w:hAnsi="Verdana" w:cs="Calibri"/>
                <w:szCs w:val="18"/>
                <w:lang w:eastAsia="en-GB"/>
              </w:rPr>
              <w:t>2</w:t>
            </w:r>
            <w:r w:rsidRPr="00AD7A14" w:rsidR="00AD7A14">
              <w:rPr>
                <w:rFonts w:ascii="Verdana" w:hAnsi="Verdana" w:cs="Calibri"/>
                <w:szCs w:val="18"/>
                <w:lang w:eastAsia="en-GB"/>
              </w:rPr>
              <w:t>5.2</w:t>
            </w:r>
            <w:r w:rsidRPr="00AD7A14" w:rsidR="00FA64BE">
              <w:rPr>
                <w:rFonts w:ascii="Verdana" w:hAnsi="Verdana" w:cs="Calibri"/>
                <w:szCs w:val="18"/>
                <w:lang w:eastAsia="en-GB"/>
              </w:rPr>
              <w:t>%</w:t>
            </w:r>
          </w:p>
        </w:tc>
      </w:tr>
      <w:tr w:rsidRPr="002671BE" w:rsidR="00FA64BE" w:rsidTr="00FA64BE">
        <w:trPr>
          <w:trHeight w:val="225"/>
        </w:trPr>
        <w:tc>
          <w:tcPr>
            <w:tcW w:w="4300" w:type="dxa"/>
            <w:tcBorders>
              <w:top w:val="nil"/>
              <w:left w:val="single" w:color="auto" w:sz="4" w:space="0"/>
              <w:bottom w:val="nil"/>
              <w:right w:val="nil"/>
            </w:tcBorders>
            <w:shd w:val="clear" w:color="000000" w:fill="D9D9D9"/>
            <w:noWrap/>
            <w:vAlign w:val="bottom"/>
            <w:hideMark/>
          </w:tcPr>
          <w:p w:rsidRPr="002671BE" w:rsidR="00FA64BE" w:rsidP="00FA64BE" w:rsidRDefault="00FA64BE">
            <w:pPr>
              <w:tabs>
                <w:tab w:val="left" w:pos="-3969"/>
              </w:tabs>
              <w:overflowPunct/>
              <w:autoSpaceDE/>
              <w:autoSpaceDN/>
              <w:adjustRightInd/>
              <w:jc w:val="left"/>
              <w:textAlignment w:val="auto"/>
              <w:rPr>
                <w:rFonts w:ascii="Verdana" w:hAnsi="Verdana" w:cs="Calibri"/>
                <w:szCs w:val="18"/>
                <w:lang w:eastAsia="en-GB"/>
              </w:rPr>
            </w:pPr>
            <w:r w:rsidRPr="002671BE">
              <w:rPr>
                <w:rFonts w:ascii="Verdana" w:hAnsi="Verdana" w:cs="Calibri"/>
                <w:szCs w:val="18"/>
                <w:lang w:eastAsia="en-GB"/>
              </w:rPr>
              <w:t>Interest cost on defined benefit obligations</w:t>
            </w:r>
          </w:p>
        </w:tc>
        <w:tc>
          <w:tcPr>
            <w:tcW w:w="880" w:type="dxa"/>
            <w:tcBorders>
              <w:top w:val="nil"/>
              <w:left w:val="single" w:color="auto" w:sz="4" w:space="0"/>
              <w:bottom w:val="nil"/>
              <w:right w:val="single" w:color="auto" w:sz="4" w:space="0"/>
            </w:tcBorders>
            <w:shd w:val="clear" w:color="000000" w:fill="D9D9D9"/>
            <w:noWrap/>
            <w:vAlign w:val="bottom"/>
            <w:hideMark/>
          </w:tcPr>
          <w:p w:rsidRPr="002671BE" w:rsidR="00FA64BE" w:rsidP="00FA64BE" w:rsidRDefault="00FA64BE">
            <w:pPr>
              <w:tabs>
                <w:tab w:val="left" w:pos="-3969"/>
              </w:tabs>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c>
          <w:tcPr>
            <w:tcW w:w="1320" w:type="dxa"/>
            <w:tcBorders>
              <w:top w:val="nil"/>
              <w:left w:val="nil"/>
              <w:bottom w:val="nil"/>
              <w:right w:val="single" w:color="auto" w:sz="4" w:space="0"/>
            </w:tcBorders>
            <w:shd w:val="clear" w:color="000000" w:fill="D9D9D9"/>
            <w:noWrap/>
            <w:vAlign w:val="bottom"/>
            <w:hideMark/>
          </w:tcPr>
          <w:p w:rsidRPr="002671BE" w:rsidR="00FA64BE" w:rsidP="00C81967" w:rsidRDefault="001B5DC3">
            <w:pPr>
              <w:tabs>
                <w:tab w:val="left" w:pos="-3969"/>
              </w:tabs>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2,</w:t>
            </w:r>
            <w:r w:rsidR="00C81967">
              <w:rPr>
                <w:rFonts w:ascii="Verdana" w:hAnsi="Verdana" w:cs="Calibri"/>
                <w:szCs w:val="18"/>
                <w:lang w:eastAsia="en-GB"/>
              </w:rPr>
              <w:t>824</w:t>
            </w:r>
          </w:p>
        </w:tc>
        <w:tc>
          <w:tcPr>
            <w:tcW w:w="903" w:type="dxa"/>
            <w:tcBorders>
              <w:top w:val="nil"/>
              <w:left w:val="nil"/>
              <w:bottom w:val="nil"/>
              <w:right w:val="single" w:color="auto" w:sz="4" w:space="0"/>
            </w:tcBorders>
            <w:shd w:val="clear" w:color="000000" w:fill="D9D9D9"/>
            <w:noWrap/>
            <w:vAlign w:val="bottom"/>
            <w:hideMark/>
          </w:tcPr>
          <w:p w:rsidRPr="002671BE" w:rsidR="00FA64BE" w:rsidP="00C81967" w:rsidRDefault="001B5DC3">
            <w:pPr>
              <w:tabs>
                <w:tab w:val="left" w:pos="-3969"/>
              </w:tabs>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(2,</w:t>
            </w:r>
            <w:r w:rsidR="00C81967">
              <w:rPr>
                <w:rFonts w:ascii="Verdana" w:hAnsi="Verdana" w:cs="Calibri"/>
                <w:szCs w:val="18"/>
                <w:lang w:eastAsia="en-GB"/>
              </w:rPr>
              <w:t>824</w:t>
            </w:r>
            <w:r w:rsidRPr="002671BE" w:rsidR="00FA64BE">
              <w:rPr>
                <w:rFonts w:ascii="Verdana" w:hAnsi="Verdana" w:cs="Calibri"/>
                <w:szCs w:val="18"/>
                <w:lang w:eastAsia="en-GB"/>
              </w:rPr>
              <w:t>)</w:t>
            </w:r>
          </w:p>
        </w:tc>
        <w:tc>
          <w:tcPr>
            <w:tcW w:w="940" w:type="dxa"/>
            <w:tcBorders>
              <w:top w:val="nil"/>
              <w:left w:val="nil"/>
              <w:bottom w:val="nil"/>
              <w:right w:val="single" w:color="auto" w:sz="4" w:space="0"/>
            </w:tcBorders>
            <w:shd w:val="clear" w:color="000000" w:fill="D9D9D9"/>
            <w:noWrap/>
            <w:vAlign w:val="bottom"/>
            <w:hideMark/>
          </w:tcPr>
          <w:p w:rsidRPr="00AD7A14" w:rsidR="00FA64BE" w:rsidP="00AD7A14" w:rsidRDefault="001B5DC3">
            <w:pPr>
              <w:tabs>
                <w:tab w:val="left" w:pos="-3969"/>
              </w:tabs>
              <w:overflowPunct/>
              <w:autoSpaceDE/>
              <w:autoSpaceDN/>
              <w:adjustRightInd/>
              <w:jc w:val="center"/>
              <w:textAlignment w:val="auto"/>
              <w:rPr>
                <w:rFonts w:ascii="Verdana" w:hAnsi="Verdana"/>
                <w:szCs w:val="18"/>
              </w:rPr>
            </w:pPr>
            <w:r w:rsidRPr="00AD7A14">
              <w:rPr>
                <w:rFonts w:ascii="Verdana" w:hAnsi="Verdana"/>
                <w:szCs w:val="18"/>
              </w:rPr>
              <w:t>-2</w:t>
            </w:r>
            <w:r w:rsidRPr="00AD7A14" w:rsidR="00AD7A14">
              <w:rPr>
                <w:rFonts w:ascii="Verdana" w:hAnsi="Verdana"/>
                <w:szCs w:val="18"/>
              </w:rPr>
              <w:t>5.4</w:t>
            </w:r>
            <w:r w:rsidRPr="00AD7A14" w:rsidR="00FA64BE">
              <w:rPr>
                <w:rFonts w:ascii="Verdana" w:hAnsi="Verdana"/>
                <w:szCs w:val="18"/>
              </w:rPr>
              <w:t>%</w:t>
            </w:r>
          </w:p>
        </w:tc>
      </w:tr>
      <w:tr w:rsidRPr="002671BE" w:rsidR="00FA64BE" w:rsidTr="00FA64BE">
        <w:trPr>
          <w:trHeight w:val="225"/>
        </w:trPr>
        <w:tc>
          <w:tcPr>
            <w:tcW w:w="4300" w:type="dxa"/>
            <w:tcBorders>
              <w:top w:val="single" w:color="auto" w:sz="4" w:space="0"/>
              <w:left w:val="single" w:color="auto" w:sz="4" w:space="0"/>
              <w:bottom w:val="single" w:color="auto" w:sz="4" w:space="0"/>
              <w:right w:val="nil"/>
            </w:tcBorders>
            <w:shd w:val="clear" w:color="000000" w:fill="D9D9D9"/>
            <w:noWrap/>
            <w:vAlign w:val="bottom"/>
            <w:hideMark/>
          </w:tcPr>
          <w:p w:rsidRPr="002671BE" w:rsidR="00FA64BE" w:rsidP="00FA64BE" w:rsidRDefault="00FA64BE">
            <w:pPr>
              <w:tabs>
                <w:tab w:val="left" w:pos="-3969"/>
              </w:tabs>
              <w:overflowPunct/>
              <w:autoSpaceDE/>
              <w:autoSpaceDN/>
              <w:adjustRightInd/>
              <w:jc w:val="left"/>
              <w:textAlignment w:val="auto"/>
              <w:rPr>
                <w:rFonts w:ascii="Verdana" w:hAnsi="Verdana" w:cs="Calibri"/>
                <w:szCs w:val="18"/>
                <w:lang w:eastAsia="en-GB"/>
              </w:rPr>
            </w:pPr>
            <w:r w:rsidRPr="002671BE">
              <w:rPr>
                <w:rFonts w:ascii="Verdana" w:hAnsi="Verdana" w:cs="Calibri"/>
                <w:szCs w:val="18"/>
                <w:lang w:eastAsia="en-GB"/>
              </w:rPr>
              <w:t>Total Net Interest Costs</w:t>
            </w:r>
          </w:p>
        </w:tc>
        <w:tc>
          <w:tcPr>
            <w:tcW w:w="88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2671BE" w:rsidR="00FA64BE" w:rsidP="00C81967" w:rsidRDefault="001B5DC3">
            <w:pPr>
              <w:tabs>
                <w:tab w:val="left" w:pos="-3969"/>
              </w:tabs>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2,</w:t>
            </w:r>
            <w:r w:rsidR="00C81967">
              <w:rPr>
                <w:rFonts w:ascii="Verdana" w:hAnsi="Verdana" w:cs="Calibri"/>
                <w:szCs w:val="18"/>
                <w:lang w:eastAsia="en-GB"/>
              </w:rPr>
              <w:t>806</w:t>
            </w:r>
          </w:p>
        </w:tc>
        <w:tc>
          <w:tcPr>
            <w:tcW w:w="1320" w:type="dxa"/>
            <w:tcBorders>
              <w:top w:val="single" w:color="auto" w:sz="4" w:space="0"/>
              <w:left w:val="nil"/>
              <w:bottom w:val="single" w:color="auto" w:sz="4" w:space="0"/>
              <w:right w:val="single" w:color="auto" w:sz="4" w:space="0"/>
            </w:tcBorders>
            <w:shd w:val="clear" w:color="000000" w:fill="D9D9D9"/>
            <w:noWrap/>
            <w:vAlign w:val="bottom"/>
            <w:hideMark/>
          </w:tcPr>
          <w:p w:rsidRPr="002671BE" w:rsidR="00FA64BE" w:rsidP="00C81967" w:rsidRDefault="001B5DC3">
            <w:pPr>
              <w:tabs>
                <w:tab w:val="left" w:pos="-3969"/>
              </w:tabs>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2,</w:t>
            </w:r>
            <w:r w:rsidR="00C81967">
              <w:rPr>
                <w:rFonts w:ascii="Verdana" w:hAnsi="Verdana" w:cs="Calibri"/>
                <w:szCs w:val="18"/>
                <w:lang w:eastAsia="en-GB"/>
              </w:rPr>
              <w:t>824</w:t>
            </w:r>
          </w:p>
        </w:tc>
        <w:tc>
          <w:tcPr>
            <w:tcW w:w="903" w:type="dxa"/>
            <w:tcBorders>
              <w:top w:val="single" w:color="auto" w:sz="4" w:space="0"/>
              <w:left w:val="nil"/>
              <w:bottom w:val="single" w:color="auto" w:sz="4" w:space="0"/>
              <w:right w:val="single" w:color="auto" w:sz="4" w:space="0"/>
            </w:tcBorders>
            <w:shd w:val="clear" w:color="000000" w:fill="D9D9D9"/>
            <w:noWrap/>
            <w:vAlign w:val="bottom"/>
            <w:hideMark/>
          </w:tcPr>
          <w:p w:rsidRPr="002671BE" w:rsidR="00FA64BE" w:rsidP="00C81967" w:rsidRDefault="001B5DC3">
            <w:pPr>
              <w:tabs>
                <w:tab w:val="left" w:pos="-3969"/>
              </w:tabs>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w:t>
            </w:r>
            <w:r w:rsidR="00C81967">
              <w:rPr>
                <w:rFonts w:ascii="Verdana" w:hAnsi="Verdana" w:cs="Calibri"/>
                <w:szCs w:val="18"/>
                <w:lang w:eastAsia="en-GB"/>
              </w:rPr>
              <w:t>18</w:t>
            </w:r>
            <w:r w:rsidRPr="002671BE" w:rsidR="00FA64BE">
              <w:rPr>
                <w:rFonts w:ascii="Verdana" w:hAnsi="Verdana" w:cs="Calibri"/>
                <w:szCs w:val="18"/>
                <w:lang w:eastAsia="en-GB"/>
              </w:rPr>
              <w:t>)</w:t>
            </w:r>
          </w:p>
        </w:tc>
        <w:tc>
          <w:tcPr>
            <w:tcW w:w="940" w:type="dxa"/>
            <w:tcBorders>
              <w:top w:val="single" w:color="auto" w:sz="4" w:space="0"/>
              <w:left w:val="nil"/>
              <w:bottom w:val="single" w:color="auto" w:sz="4" w:space="0"/>
              <w:right w:val="single" w:color="auto" w:sz="4" w:space="0"/>
            </w:tcBorders>
            <w:shd w:val="clear" w:color="000000" w:fill="D9D9D9"/>
            <w:noWrap/>
            <w:vAlign w:val="bottom"/>
            <w:hideMark/>
          </w:tcPr>
          <w:p w:rsidRPr="00AD7A14" w:rsidR="00FA64BE" w:rsidP="001B5DC3" w:rsidRDefault="001B5DC3">
            <w:pPr>
              <w:tabs>
                <w:tab w:val="left" w:pos="-3969"/>
              </w:tabs>
              <w:overflowPunct/>
              <w:autoSpaceDE/>
              <w:autoSpaceDN/>
              <w:adjustRightInd/>
              <w:jc w:val="center"/>
              <w:textAlignment w:val="auto"/>
              <w:rPr>
                <w:rFonts w:ascii="Verdana" w:hAnsi="Verdana"/>
                <w:szCs w:val="18"/>
              </w:rPr>
            </w:pPr>
            <w:r w:rsidRPr="00AD7A14">
              <w:rPr>
                <w:rFonts w:ascii="Verdana" w:hAnsi="Verdana"/>
                <w:szCs w:val="18"/>
              </w:rPr>
              <w:t>-</w:t>
            </w:r>
            <w:r w:rsidRPr="00AD7A14" w:rsidR="00FA64BE">
              <w:rPr>
                <w:rFonts w:ascii="Verdana" w:hAnsi="Verdana"/>
                <w:szCs w:val="18"/>
              </w:rPr>
              <w:t>0.</w:t>
            </w:r>
            <w:r w:rsidRPr="00AD7A14" w:rsidR="00AD7A14">
              <w:rPr>
                <w:rFonts w:ascii="Verdana" w:hAnsi="Verdana"/>
                <w:szCs w:val="18"/>
              </w:rPr>
              <w:t>2</w:t>
            </w:r>
            <w:r w:rsidRPr="00AD7A14" w:rsidR="00FA64BE">
              <w:rPr>
                <w:rFonts w:ascii="Verdana" w:hAnsi="Verdana"/>
                <w:szCs w:val="18"/>
              </w:rPr>
              <w:t>%</w:t>
            </w:r>
          </w:p>
        </w:tc>
      </w:tr>
      <w:tr w:rsidRPr="002671BE" w:rsidR="00FA64BE" w:rsidTr="00FA64BE">
        <w:trPr>
          <w:trHeight w:val="225"/>
        </w:trPr>
        <w:tc>
          <w:tcPr>
            <w:tcW w:w="4300" w:type="dxa"/>
            <w:tcBorders>
              <w:top w:val="nil"/>
              <w:left w:val="single" w:color="auto" w:sz="4" w:space="0"/>
              <w:bottom w:val="single" w:color="auto" w:sz="4" w:space="0"/>
              <w:right w:val="nil"/>
            </w:tcBorders>
            <w:shd w:val="clear" w:color="000000" w:fill="D9D9D9"/>
            <w:noWrap/>
            <w:vAlign w:val="bottom"/>
            <w:hideMark/>
          </w:tcPr>
          <w:p w:rsidRPr="002671BE" w:rsidR="00FA64BE" w:rsidP="00FA64BE" w:rsidRDefault="00FA64BE">
            <w:pPr>
              <w:tabs>
                <w:tab w:val="left" w:pos="-3969"/>
              </w:tabs>
              <w:overflowPunct/>
              <w:autoSpaceDE/>
              <w:autoSpaceDN/>
              <w:adjustRightInd/>
              <w:jc w:val="left"/>
              <w:textAlignment w:val="auto"/>
              <w:rPr>
                <w:rFonts w:ascii="Verdana" w:hAnsi="Verdana" w:cs="Calibri"/>
                <w:szCs w:val="18"/>
                <w:lang w:eastAsia="en-GB"/>
              </w:rPr>
            </w:pPr>
            <w:r w:rsidRPr="002671BE">
              <w:rPr>
                <w:rFonts w:ascii="Verdana" w:hAnsi="Verdana" w:cs="Calibri"/>
                <w:szCs w:val="18"/>
                <w:lang w:eastAsia="en-GB"/>
              </w:rPr>
              <w:t>Total Included in Profit &amp; Loss</w:t>
            </w:r>
          </w:p>
        </w:tc>
        <w:tc>
          <w:tcPr>
            <w:tcW w:w="880" w:type="dxa"/>
            <w:tcBorders>
              <w:top w:val="nil"/>
              <w:left w:val="single" w:color="auto" w:sz="4" w:space="0"/>
              <w:bottom w:val="single" w:color="auto" w:sz="4" w:space="0"/>
              <w:right w:val="single" w:color="auto" w:sz="4" w:space="0"/>
            </w:tcBorders>
            <w:shd w:val="clear" w:color="000000" w:fill="D9D9D9"/>
            <w:noWrap/>
            <w:vAlign w:val="bottom"/>
            <w:hideMark/>
          </w:tcPr>
          <w:p w:rsidRPr="002671BE" w:rsidR="00FA64BE" w:rsidP="00C81967" w:rsidRDefault="001B5DC3">
            <w:pPr>
              <w:tabs>
                <w:tab w:val="left" w:pos="-3969"/>
              </w:tabs>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2,</w:t>
            </w:r>
            <w:r w:rsidR="00C81967">
              <w:rPr>
                <w:rFonts w:ascii="Verdana" w:hAnsi="Verdana" w:cs="Calibri"/>
                <w:szCs w:val="18"/>
                <w:lang w:eastAsia="en-GB"/>
              </w:rPr>
              <w:t>806</w:t>
            </w:r>
          </w:p>
        </w:tc>
        <w:tc>
          <w:tcPr>
            <w:tcW w:w="1320" w:type="dxa"/>
            <w:tcBorders>
              <w:top w:val="nil"/>
              <w:left w:val="nil"/>
              <w:bottom w:val="single" w:color="auto" w:sz="4" w:space="0"/>
              <w:right w:val="single" w:color="auto" w:sz="4" w:space="0"/>
            </w:tcBorders>
            <w:shd w:val="clear" w:color="000000" w:fill="D9D9D9"/>
            <w:noWrap/>
            <w:vAlign w:val="bottom"/>
            <w:hideMark/>
          </w:tcPr>
          <w:p w:rsidRPr="002671BE" w:rsidR="00FA64BE" w:rsidP="00C81967" w:rsidRDefault="00C81967">
            <w:pPr>
              <w:tabs>
                <w:tab w:val="left" w:pos="-3969"/>
              </w:tabs>
              <w:overflowPunct/>
              <w:autoSpaceDE/>
              <w:autoSpaceDN/>
              <w:adjustRightInd/>
              <w:jc w:val="right"/>
              <w:textAlignment w:val="auto"/>
              <w:rPr>
                <w:rFonts w:ascii="Verdana" w:hAnsi="Verdana" w:cs="Calibri"/>
                <w:szCs w:val="18"/>
                <w:lang w:eastAsia="en-GB"/>
              </w:rPr>
            </w:pPr>
            <w:r>
              <w:rPr>
                <w:rFonts w:ascii="Verdana" w:hAnsi="Verdana" w:cs="Calibri"/>
                <w:szCs w:val="18"/>
                <w:lang w:eastAsia="en-GB"/>
              </w:rPr>
              <w:t>6</w:t>
            </w:r>
            <w:r w:rsidRPr="002671BE" w:rsidR="001B5DC3">
              <w:rPr>
                <w:rFonts w:ascii="Verdana" w:hAnsi="Verdana" w:cs="Calibri"/>
                <w:szCs w:val="18"/>
                <w:lang w:eastAsia="en-GB"/>
              </w:rPr>
              <w:t>,</w:t>
            </w:r>
            <w:r>
              <w:rPr>
                <w:rFonts w:ascii="Verdana" w:hAnsi="Verdana" w:cs="Calibri"/>
                <w:szCs w:val="18"/>
                <w:lang w:eastAsia="en-GB"/>
              </w:rPr>
              <w:t>956</w:t>
            </w:r>
          </w:p>
        </w:tc>
        <w:tc>
          <w:tcPr>
            <w:tcW w:w="903" w:type="dxa"/>
            <w:tcBorders>
              <w:top w:val="nil"/>
              <w:left w:val="nil"/>
              <w:bottom w:val="single" w:color="auto" w:sz="4" w:space="0"/>
              <w:right w:val="single" w:color="auto" w:sz="4" w:space="0"/>
            </w:tcBorders>
            <w:shd w:val="clear" w:color="000000" w:fill="D9D9D9"/>
            <w:noWrap/>
            <w:vAlign w:val="bottom"/>
            <w:hideMark/>
          </w:tcPr>
          <w:p w:rsidRPr="002671BE" w:rsidR="00FA64BE" w:rsidP="00C81967" w:rsidRDefault="001B5DC3">
            <w:pPr>
              <w:tabs>
                <w:tab w:val="left" w:pos="-3969"/>
              </w:tabs>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(4,</w:t>
            </w:r>
            <w:r w:rsidR="00C81967">
              <w:rPr>
                <w:rFonts w:ascii="Verdana" w:hAnsi="Verdana" w:cs="Calibri"/>
                <w:szCs w:val="18"/>
                <w:lang w:eastAsia="en-GB"/>
              </w:rPr>
              <w:t>150</w:t>
            </w:r>
            <w:r w:rsidRPr="002671BE" w:rsidR="00FA64BE">
              <w:rPr>
                <w:rFonts w:ascii="Verdana" w:hAnsi="Verdana" w:cs="Calibri"/>
                <w:szCs w:val="18"/>
                <w:lang w:eastAsia="en-GB"/>
              </w:rPr>
              <w:t>)</w:t>
            </w:r>
          </w:p>
        </w:tc>
        <w:tc>
          <w:tcPr>
            <w:tcW w:w="940" w:type="dxa"/>
            <w:tcBorders>
              <w:top w:val="nil"/>
              <w:left w:val="nil"/>
              <w:bottom w:val="single" w:color="auto" w:sz="4" w:space="0"/>
              <w:right w:val="single" w:color="auto" w:sz="4" w:space="0"/>
            </w:tcBorders>
            <w:shd w:val="clear" w:color="000000" w:fill="D9D9D9"/>
            <w:noWrap/>
            <w:vAlign w:val="bottom"/>
            <w:hideMark/>
          </w:tcPr>
          <w:p w:rsidRPr="00AD7A14" w:rsidR="00FA64BE" w:rsidP="00AD7A14" w:rsidRDefault="00FA64BE">
            <w:pPr>
              <w:tabs>
                <w:tab w:val="left" w:pos="-3969"/>
              </w:tabs>
              <w:overflowPunct/>
              <w:autoSpaceDE/>
              <w:autoSpaceDN/>
              <w:adjustRightInd/>
              <w:jc w:val="center"/>
              <w:textAlignment w:val="auto"/>
              <w:rPr>
                <w:rFonts w:ascii="Verdana" w:hAnsi="Verdana"/>
                <w:szCs w:val="18"/>
              </w:rPr>
            </w:pPr>
            <w:r w:rsidRPr="00AD7A14">
              <w:rPr>
                <w:rFonts w:ascii="Verdana" w:hAnsi="Verdana"/>
                <w:szCs w:val="18"/>
              </w:rPr>
              <w:t>-</w:t>
            </w:r>
            <w:r w:rsidRPr="00AD7A14" w:rsidR="001B5DC3">
              <w:rPr>
                <w:rFonts w:ascii="Verdana" w:hAnsi="Verdana"/>
                <w:szCs w:val="18"/>
              </w:rPr>
              <w:t>3</w:t>
            </w:r>
            <w:r w:rsidRPr="00AD7A14" w:rsidR="00AD7A14">
              <w:rPr>
                <w:rFonts w:ascii="Verdana" w:hAnsi="Verdana"/>
                <w:szCs w:val="18"/>
              </w:rPr>
              <w:t>7</w:t>
            </w:r>
            <w:r w:rsidRPr="00AD7A14">
              <w:rPr>
                <w:rFonts w:ascii="Verdana" w:hAnsi="Verdana"/>
                <w:szCs w:val="18"/>
              </w:rPr>
              <w:t>.</w:t>
            </w:r>
            <w:r w:rsidRPr="00AD7A14" w:rsidR="00AD7A14">
              <w:rPr>
                <w:rFonts w:ascii="Verdana" w:hAnsi="Verdana"/>
                <w:szCs w:val="18"/>
              </w:rPr>
              <w:t>3</w:t>
            </w:r>
            <w:r w:rsidRPr="00AD7A14">
              <w:rPr>
                <w:rFonts w:ascii="Verdana" w:hAnsi="Verdana"/>
                <w:szCs w:val="18"/>
              </w:rPr>
              <w:t>%</w:t>
            </w:r>
          </w:p>
        </w:tc>
      </w:tr>
    </w:tbl>
    <w:p w:rsidRPr="008B41ED" w:rsidR="00FA64BE" w:rsidP="00FA64BE" w:rsidRDefault="00FA64BE">
      <w:pPr>
        <w:pStyle w:val="ACText"/>
        <w:tabs>
          <w:tab w:val="clear" w:pos="0"/>
          <w:tab w:val="left" w:pos="-3969"/>
        </w:tabs>
        <w:rPr>
          <w:rFonts w:ascii="Verdana" w:hAnsi="Verdana"/>
          <w:b/>
          <w:bCs/>
          <w:color w:val="000000"/>
          <w:highlight w:val="yellow"/>
          <w:lang w:eastAsia="en-GB"/>
        </w:rPr>
      </w:pPr>
    </w:p>
    <w:p w:rsidRPr="005D711A" w:rsidR="00FA64BE" w:rsidP="00FA64BE" w:rsidRDefault="00FA64BE">
      <w:pPr>
        <w:pStyle w:val="Heading1"/>
        <w:numPr>
          <w:ilvl w:val="0"/>
          <w:numId w:val="0"/>
        </w:numPr>
        <w:rPr>
          <w:rFonts w:ascii="Verdana" w:hAnsi="Verdana"/>
          <w:bCs/>
        </w:rPr>
      </w:pPr>
      <w:r w:rsidRPr="005D711A">
        <w:rPr>
          <w:rFonts w:ascii="Verdana" w:hAnsi="Verdana" w:cs="Arial"/>
          <w:sz w:val="26"/>
          <w:szCs w:val="26"/>
        </w:rPr>
        <w:t>Notes – continued</w:t>
      </w:r>
    </w:p>
    <w:p w:rsidRPr="005D711A" w:rsidR="00FA64BE" w:rsidP="008F7B71" w:rsidRDefault="00FA64BE">
      <w:pPr>
        <w:pStyle w:val="ACText"/>
        <w:rPr>
          <w:rFonts w:ascii="Verdana" w:hAnsi="Verdana"/>
          <w:b/>
          <w:bCs/>
          <w:color w:val="000000"/>
          <w:lang w:eastAsia="en-GB"/>
        </w:rPr>
      </w:pPr>
      <w:r w:rsidRPr="005D711A">
        <w:rPr>
          <w:rFonts w:ascii="Verdana" w:hAnsi="Verdana"/>
          <w:b/>
          <w:bCs/>
          <w:color w:val="000000"/>
          <w:lang w:eastAsia="en-GB"/>
        </w:rPr>
        <w:t>C. FRS102 Pension Sch</w:t>
      </w:r>
      <w:r w:rsidRPr="005D711A" w:rsidR="005D711A">
        <w:rPr>
          <w:rFonts w:ascii="Verdana" w:hAnsi="Verdana"/>
          <w:b/>
          <w:bCs/>
          <w:color w:val="000000"/>
          <w:lang w:eastAsia="en-GB"/>
        </w:rPr>
        <w:t>eme Disclosures at 31 March 201</w:t>
      </w:r>
      <w:r w:rsidR="0018277D">
        <w:rPr>
          <w:rFonts w:ascii="Verdana" w:hAnsi="Verdana"/>
          <w:b/>
          <w:bCs/>
          <w:color w:val="000000"/>
          <w:lang w:eastAsia="en-GB"/>
        </w:rPr>
        <w:t>8</w:t>
      </w:r>
    </w:p>
    <w:p w:rsidRPr="005D711A" w:rsidR="00FA64BE" w:rsidP="008F7B71" w:rsidRDefault="00FA64BE">
      <w:pPr>
        <w:pStyle w:val="ACText"/>
        <w:rPr>
          <w:rFonts w:ascii="Verdana" w:hAnsi="Verdana"/>
          <w:b/>
          <w:bCs/>
          <w:color w:val="000000"/>
          <w:lang w:eastAsia="en-GB"/>
        </w:rPr>
      </w:pPr>
    </w:p>
    <w:tbl>
      <w:tblPr>
        <w:tblW w:w="9226" w:type="dxa"/>
        <w:tblInd w:w="250" w:type="dxa"/>
        <w:tblLook w:val="04A0" w:firstRow="1" w:lastRow="0" w:firstColumn="1" w:lastColumn="0" w:noHBand="0" w:noVBand="1"/>
      </w:tblPr>
      <w:tblGrid>
        <w:gridCol w:w="5277"/>
        <w:gridCol w:w="1135"/>
        <w:gridCol w:w="1234"/>
        <w:gridCol w:w="1580"/>
      </w:tblGrid>
      <w:tr w:rsidRPr="002671BE" w:rsidR="00FA64BE" w:rsidTr="00FA64BE">
        <w:trPr>
          <w:trHeight w:val="900"/>
        </w:trPr>
        <w:tc>
          <w:tcPr>
            <w:tcW w:w="5277" w:type="dxa"/>
            <w:tcBorders>
              <w:top w:val="single" w:color="auto" w:sz="4" w:space="0"/>
              <w:left w:val="single" w:color="auto" w:sz="4" w:space="0"/>
              <w:bottom w:val="single" w:color="auto" w:sz="4" w:space="0"/>
              <w:right w:val="nil"/>
            </w:tcBorders>
            <w:shd w:val="clear" w:color="000000" w:fill="000000"/>
            <w:vAlign w:val="bottom"/>
            <w:hideMark/>
          </w:tcPr>
          <w:p w:rsidRPr="002671BE" w:rsidR="00FA64BE" w:rsidP="0018277D" w:rsidRDefault="00FA64BE">
            <w:pPr>
              <w:overflowPunct/>
              <w:autoSpaceDE/>
              <w:autoSpaceDN/>
              <w:adjustRightInd/>
              <w:jc w:val="left"/>
              <w:textAlignment w:val="auto"/>
              <w:rPr>
                <w:rFonts w:ascii="Verdana" w:hAnsi="Verdana" w:cs="Calibri"/>
                <w:szCs w:val="18"/>
                <w:lang w:eastAsia="en-GB"/>
              </w:rPr>
            </w:pPr>
            <w:r w:rsidRPr="002671BE">
              <w:rPr>
                <w:rFonts w:ascii="Verdana" w:hAnsi="Verdana" w:cs="Calibri"/>
                <w:szCs w:val="18"/>
                <w:lang w:eastAsia="en-GB"/>
              </w:rPr>
              <w:t>Period Ending 31 March 201</w:t>
            </w:r>
            <w:r w:rsidR="0018277D">
              <w:rPr>
                <w:rFonts w:ascii="Verdana" w:hAnsi="Verdana" w:cs="Calibri"/>
                <w:szCs w:val="18"/>
                <w:lang w:eastAsia="en-GB"/>
              </w:rPr>
              <w:t>8</w:t>
            </w:r>
          </w:p>
        </w:tc>
        <w:tc>
          <w:tcPr>
            <w:tcW w:w="1135" w:type="dxa"/>
            <w:tcBorders>
              <w:top w:val="single" w:color="auto" w:sz="4" w:space="0"/>
              <w:left w:val="nil"/>
              <w:bottom w:val="single" w:color="auto" w:sz="4" w:space="0"/>
              <w:right w:val="nil"/>
            </w:tcBorders>
            <w:shd w:val="clear" w:color="000000" w:fill="000000"/>
            <w:vAlign w:val="bottom"/>
            <w:hideMark/>
          </w:tcPr>
          <w:p w:rsidRPr="002671BE" w:rsidR="00FA64BE" w:rsidP="00FA64BE" w:rsidRDefault="00FA64BE">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xml:space="preserve"> Assets £(000) </w:t>
            </w:r>
          </w:p>
        </w:tc>
        <w:tc>
          <w:tcPr>
            <w:tcW w:w="1234" w:type="dxa"/>
            <w:tcBorders>
              <w:top w:val="single" w:color="auto" w:sz="4" w:space="0"/>
              <w:left w:val="nil"/>
              <w:bottom w:val="single" w:color="auto" w:sz="4" w:space="0"/>
              <w:right w:val="nil"/>
            </w:tcBorders>
            <w:shd w:val="clear" w:color="000000" w:fill="000000"/>
            <w:vAlign w:val="bottom"/>
            <w:hideMark/>
          </w:tcPr>
          <w:p w:rsidRPr="002671BE" w:rsidR="00FA64BE" w:rsidP="00FA64BE" w:rsidRDefault="00FA64BE">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xml:space="preserve"> Obligations £(000) </w:t>
            </w:r>
          </w:p>
        </w:tc>
        <w:tc>
          <w:tcPr>
            <w:tcW w:w="1580" w:type="dxa"/>
            <w:tcBorders>
              <w:top w:val="single" w:color="auto" w:sz="4" w:space="0"/>
              <w:left w:val="nil"/>
              <w:bottom w:val="single" w:color="auto" w:sz="4" w:space="0"/>
              <w:right w:val="single" w:color="auto" w:sz="4" w:space="0"/>
            </w:tcBorders>
            <w:shd w:val="clear" w:color="000000" w:fill="000000"/>
            <w:vAlign w:val="bottom"/>
            <w:hideMark/>
          </w:tcPr>
          <w:p w:rsidRPr="002671BE" w:rsidR="00FA64BE" w:rsidP="00FA64BE" w:rsidRDefault="00FA64BE">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xml:space="preserve"> Net (liability)/asset £(000) </w:t>
            </w:r>
          </w:p>
        </w:tc>
      </w:tr>
      <w:tr w:rsidRPr="002671BE" w:rsidR="005D711A" w:rsidTr="00C92621">
        <w:trPr>
          <w:trHeight w:val="225"/>
        </w:trPr>
        <w:tc>
          <w:tcPr>
            <w:tcW w:w="5277" w:type="dxa"/>
            <w:tcBorders>
              <w:top w:val="nil"/>
              <w:left w:val="single" w:color="auto" w:sz="4" w:space="0"/>
              <w:bottom w:val="nil"/>
              <w:right w:val="nil"/>
            </w:tcBorders>
            <w:shd w:val="clear" w:color="000000" w:fill="D9D9D9"/>
            <w:noWrap/>
            <w:vAlign w:val="bottom"/>
            <w:hideMark/>
          </w:tcPr>
          <w:p w:rsidRPr="002671BE" w:rsidR="005D711A" w:rsidP="00FA64BE" w:rsidRDefault="005D711A">
            <w:pPr>
              <w:overflowPunct/>
              <w:autoSpaceDE/>
              <w:autoSpaceDN/>
              <w:adjustRightInd/>
              <w:jc w:val="left"/>
              <w:textAlignment w:val="auto"/>
              <w:rPr>
                <w:rFonts w:ascii="Verdana" w:hAnsi="Verdana" w:cs="Calibri"/>
                <w:szCs w:val="18"/>
                <w:lang w:eastAsia="en-GB"/>
              </w:rPr>
            </w:pPr>
            <w:r w:rsidRPr="002671BE">
              <w:rPr>
                <w:rFonts w:ascii="Verdana" w:hAnsi="Verdana" w:cs="Calibri"/>
                <w:szCs w:val="18"/>
                <w:lang w:eastAsia="en-GB"/>
              </w:rPr>
              <w:t>Fair value of plan assets</w:t>
            </w:r>
          </w:p>
        </w:tc>
        <w:tc>
          <w:tcPr>
            <w:tcW w:w="1135" w:type="dxa"/>
            <w:tcBorders>
              <w:top w:val="nil"/>
              <w:left w:val="nil"/>
              <w:bottom w:val="nil"/>
              <w:right w:val="nil"/>
            </w:tcBorders>
            <w:shd w:val="clear" w:color="000000" w:fill="D9D9D9"/>
            <w:noWrap/>
            <w:vAlign w:val="center"/>
            <w:hideMark/>
          </w:tcPr>
          <w:p w:rsidRPr="002671BE" w:rsidR="005D711A" w:rsidP="0018277D" w:rsidRDefault="0018277D">
            <w:pPr>
              <w:jc w:val="right"/>
              <w:rPr>
                <w:rFonts w:ascii="Verdana" w:hAnsi="Verdana"/>
                <w:szCs w:val="18"/>
              </w:rPr>
            </w:pPr>
            <w:r>
              <w:rPr>
                <w:rFonts w:ascii="Verdana" w:hAnsi="Verdana"/>
                <w:szCs w:val="18"/>
              </w:rPr>
              <w:t>97</w:t>
            </w:r>
            <w:r w:rsidRPr="002671BE" w:rsidR="005D711A">
              <w:rPr>
                <w:rFonts w:ascii="Verdana" w:hAnsi="Verdana"/>
                <w:szCs w:val="18"/>
              </w:rPr>
              <w:t>,</w:t>
            </w:r>
            <w:r>
              <w:rPr>
                <w:rFonts w:ascii="Verdana" w:hAnsi="Verdana"/>
                <w:szCs w:val="18"/>
              </w:rPr>
              <w:t>466</w:t>
            </w:r>
            <w:r w:rsidRPr="002671BE" w:rsidR="005D711A">
              <w:rPr>
                <w:rFonts w:ascii="Verdana" w:hAnsi="Verdana"/>
                <w:szCs w:val="18"/>
              </w:rPr>
              <w:t xml:space="preserve"> </w:t>
            </w:r>
          </w:p>
        </w:tc>
        <w:tc>
          <w:tcPr>
            <w:tcW w:w="1234" w:type="dxa"/>
            <w:tcBorders>
              <w:top w:val="nil"/>
              <w:left w:val="nil"/>
              <w:bottom w:val="nil"/>
              <w:right w:val="nil"/>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w:t>
            </w:r>
          </w:p>
        </w:tc>
        <w:tc>
          <w:tcPr>
            <w:tcW w:w="1580" w:type="dxa"/>
            <w:tcBorders>
              <w:top w:val="nil"/>
              <w:left w:val="nil"/>
              <w:bottom w:val="nil"/>
              <w:right w:val="single" w:color="auto" w:sz="4" w:space="0"/>
            </w:tcBorders>
            <w:shd w:val="clear" w:color="000000" w:fill="D9D9D9"/>
            <w:noWrap/>
            <w:vAlign w:val="center"/>
            <w:hideMark/>
          </w:tcPr>
          <w:p w:rsidRPr="002671BE" w:rsidR="005D711A" w:rsidRDefault="0018277D">
            <w:pPr>
              <w:jc w:val="right"/>
              <w:rPr>
                <w:rFonts w:ascii="Verdana" w:hAnsi="Verdana"/>
                <w:szCs w:val="18"/>
              </w:rPr>
            </w:pPr>
            <w:r>
              <w:rPr>
                <w:rFonts w:ascii="Verdana" w:hAnsi="Verdana"/>
                <w:szCs w:val="18"/>
              </w:rPr>
              <w:t xml:space="preserve">97,466 </w:t>
            </w:r>
            <w:r w:rsidRPr="002671BE" w:rsidR="005D711A">
              <w:rPr>
                <w:rFonts w:ascii="Verdana" w:hAnsi="Verdana"/>
                <w:szCs w:val="18"/>
              </w:rPr>
              <w:t xml:space="preserve"> </w:t>
            </w:r>
          </w:p>
        </w:tc>
      </w:tr>
      <w:tr w:rsidRPr="002671BE" w:rsidR="005D711A" w:rsidTr="00C92621">
        <w:trPr>
          <w:trHeight w:val="225"/>
        </w:trPr>
        <w:tc>
          <w:tcPr>
            <w:tcW w:w="5277" w:type="dxa"/>
            <w:tcBorders>
              <w:top w:val="nil"/>
              <w:left w:val="single" w:color="auto" w:sz="4" w:space="0"/>
              <w:bottom w:val="nil"/>
              <w:right w:val="nil"/>
            </w:tcBorders>
            <w:shd w:val="clear" w:color="000000" w:fill="D9D9D9"/>
            <w:noWrap/>
            <w:vAlign w:val="bottom"/>
            <w:hideMark/>
          </w:tcPr>
          <w:p w:rsidRPr="002671BE" w:rsidR="005D711A" w:rsidP="00FA64BE" w:rsidRDefault="005D711A">
            <w:pPr>
              <w:overflowPunct/>
              <w:autoSpaceDE/>
              <w:autoSpaceDN/>
              <w:adjustRightInd/>
              <w:jc w:val="left"/>
              <w:textAlignment w:val="auto"/>
              <w:rPr>
                <w:rFonts w:ascii="Verdana" w:hAnsi="Verdana" w:cs="Calibri"/>
                <w:szCs w:val="18"/>
                <w:lang w:eastAsia="en-GB"/>
              </w:rPr>
            </w:pPr>
            <w:r w:rsidRPr="002671BE">
              <w:rPr>
                <w:rFonts w:ascii="Verdana" w:hAnsi="Verdana" w:cs="Calibri"/>
                <w:szCs w:val="18"/>
                <w:lang w:eastAsia="en-GB"/>
              </w:rPr>
              <w:t>Present value of funded liabilities</w:t>
            </w:r>
          </w:p>
        </w:tc>
        <w:tc>
          <w:tcPr>
            <w:tcW w:w="1135" w:type="dxa"/>
            <w:tcBorders>
              <w:top w:val="nil"/>
              <w:left w:val="nil"/>
              <w:bottom w:val="nil"/>
              <w:right w:val="nil"/>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w:t>
            </w:r>
          </w:p>
        </w:tc>
        <w:tc>
          <w:tcPr>
            <w:tcW w:w="1234" w:type="dxa"/>
            <w:tcBorders>
              <w:top w:val="nil"/>
              <w:left w:val="nil"/>
              <w:bottom w:val="nil"/>
              <w:right w:val="nil"/>
            </w:tcBorders>
            <w:shd w:val="clear" w:color="000000" w:fill="D9D9D9"/>
            <w:noWrap/>
            <w:vAlign w:val="center"/>
            <w:hideMark/>
          </w:tcPr>
          <w:p w:rsidRPr="002671BE" w:rsidR="005D711A" w:rsidP="0018277D" w:rsidRDefault="0018277D">
            <w:pPr>
              <w:jc w:val="right"/>
              <w:rPr>
                <w:rFonts w:ascii="Verdana" w:hAnsi="Verdana"/>
                <w:szCs w:val="18"/>
              </w:rPr>
            </w:pPr>
            <w:r>
              <w:rPr>
                <w:rFonts w:ascii="Verdana" w:hAnsi="Verdana"/>
                <w:szCs w:val="18"/>
              </w:rPr>
              <w:t>98</w:t>
            </w:r>
            <w:r w:rsidRPr="002671BE" w:rsidR="005D711A">
              <w:rPr>
                <w:rFonts w:ascii="Verdana" w:hAnsi="Verdana"/>
                <w:szCs w:val="18"/>
              </w:rPr>
              <w:t>,</w:t>
            </w:r>
            <w:r>
              <w:rPr>
                <w:rFonts w:ascii="Verdana" w:hAnsi="Verdana"/>
                <w:szCs w:val="18"/>
              </w:rPr>
              <w:t>200</w:t>
            </w:r>
            <w:r w:rsidRPr="002671BE" w:rsidR="005D711A">
              <w:rPr>
                <w:rFonts w:ascii="Verdana" w:hAnsi="Verdana"/>
                <w:szCs w:val="18"/>
              </w:rPr>
              <w:t xml:space="preserve"> </w:t>
            </w:r>
          </w:p>
        </w:tc>
        <w:tc>
          <w:tcPr>
            <w:tcW w:w="1580" w:type="dxa"/>
            <w:tcBorders>
              <w:top w:val="nil"/>
              <w:left w:val="nil"/>
              <w:bottom w:val="nil"/>
              <w:right w:val="single" w:color="auto" w:sz="4" w:space="0"/>
            </w:tcBorders>
            <w:shd w:val="clear" w:color="000000" w:fill="D9D9D9"/>
            <w:noWrap/>
            <w:vAlign w:val="center"/>
            <w:hideMark/>
          </w:tcPr>
          <w:p w:rsidRPr="002671BE" w:rsidR="005D711A" w:rsidP="0018277D" w:rsidRDefault="002671BE">
            <w:pPr>
              <w:jc w:val="right"/>
              <w:rPr>
                <w:rFonts w:ascii="Verdana" w:hAnsi="Verdana"/>
                <w:szCs w:val="18"/>
              </w:rPr>
            </w:pPr>
            <w:r w:rsidRPr="002671BE">
              <w:rPr>
                <w:rFonts w:ascii="Verdana" w:hAnsi="Verdana"/>
                <w:szCs w:val="18"/>
              </w:rPr>
              <w:t>(</w:t>
            </w:r>
            <w:r w:rsidR="0018277D">
              <w:rPr>
                <w:rFonts w:ascii="Verdana" w:hAnsi="Verdana"/>
                <w:szCs w:val="18"/>
              </w:rPr>
              <w:t>9</w:t>
            </w:r>
            <w:r w:rsidRPr="002671BE" w:rsidR="005D711A">
              <w:rPr>
                <w:rFonts w:ascii="Verdana" w:hAnsi="Verdana"/>
                <w:szCs w:val="18"/>
              </w:rPr>
              <w:t>8,</w:t>
            </w:r>
            <w:r w:rsidR="0018277D">
              <w:rPr>
                <w:rFonts w:ascii="Verdana" w:hAnsi="Verdana"/>
                <w:szCs w:val="18"/>
              </w:rPr>
              <w:t>200</w:t>
            </w:r>
            <w:r w:rsidRPr="002671BE">
              <w:rPr>
                <w:rFonts w:ascii="Verdana" w:hAnsi="Verdana"/>
                <w:szCs w:val="18"/>
              </w:rPr>
              <w:t>)</w:t>
            </w:r>
            <w:r w:rsidRPr="002671BE" w:rsidR="005D711A">
              <w:rPr>
                <w:rFonts w:ascii="Verdana" w:hAnsi="Verdana"/>
                <w:szCs w:val="18"/>
              </w:rPr>
              <w:t xml:space="preserve"> </w:t>
            </w:r>
          </w:p>
        </w:tc>
      </w:tr>
      <w:tr w:rsidRPr="002671BE" w:rsidR="005D711A" w:rsidTr="00C92621">
        <w:trPr>
          <w:trHeight w:val="225"/>
        </w:trPr>
        <w:tc>
          <w:tcPr>
            <w:tcW w:w="5277" w:type="dxa"/>
            <w:tcBorders>
              <w:top w:val="nil"/>
              <w:left w:val="single" w:color="auto" w:sz="4" w:space="0"/>
              <w:bottom w:val="nil"/>
              <w:right w:val="nil"/>
            </w:tcBorders>
            <w:shd w:val="clear" w:color="000000" w:fill="D9D9D9"/>
            <w:noWrap/>
            <w:vAlign w:val="bottom"/>
            <w:hideMark/>
          </w:tcPr>
          <w:p w:rsidRPr="002671BE" w:rsidR="005D711A" w:rsidP="00FA64BE" w:rsidRDefault="005D711A">
            <w:pPr>
              <w:overflowPunct/>
              <w:autoSpaceDE/>
              <w:autoSpaceDN/>
              <w:adjustRightInd/>
              <w:textAlignment w:val="auto"/>
              <w:rPr>
                <w:rFonts w:ascii="Verdana" w:hAnsi="Verdana" w:cs="Calibri"/>
                <w:szCs w:val="18"/>
                <w:lang w:eastAsia="en-GB"/>
              </w:rPr>
            </w:pPr>
            <w:r w:rsidRPr="002671BE">
              <w:rPr>
                <w:rFonts w:ascii="Verdana" w:hAnsi="Verdana" w:cs="Calibri"/>
                <w:szCs w:val="18"/>
                <w:lang w:eastAsia="en-GB"/>
              </w:rPr>
              <w:t>Present value of unfunded liabilities</w:t>
            </w:r>
          </w:p>
        </w:tc>
        <w:tc>
          <w:tcPr>
            <w:tcW w:w="1135" w:type="dxa"/>
            <w:tcBorders>
              <w:top w:val="nil"/>
              <w:left w:val="nil"/>
              <w:bottom w:val="nil"/>
              <w:right w:val="nil"/>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w:t>
            </w:r>
          </w:p>
        </w:tc>
        <w:tc>
          <w:tcPr>
            <w:tcW w:w="1234" w:type="dxa"/>
            <w:tcBorders>
              <w:top w:val="nil"/>
              <w:left w:val="nil"/>
              <w:bottom w:val="nil"/>
              <w:right w:val="nil"/>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w:t>
            </w:r>
          </w:p>
        </w:tc>
        <w:tc>
          <w:tcPr>
            <w:tcW w:w="1580" w:type="dxa"/>
            <w:tcBorders>
              <w:top w:val="nil"/>
              <w:left w:val="nil"/>
              <w:bottom w:val="nil"/>
              <w:right w:val="single" w:color="auto" w:sz="4" w:space="0"/>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w:t>
            </w:r>
          </w:p>
        </w:tc>
      </w:tr>
      <w:tr w:rsidRPr="002671BE" w:rsidR="005D711A" w:rsidTr="00C92621">
        <w:trPr>
          <w:trHeight w:val="225"/>
        </w:trPr>
        <w:tc>
          <w:tcPr>
            <w:tcW w:w="5277" w:type="dxa"/>
            <w:tcBorders>
              <w:top w:val="single" w:color="auto" w:sz="4" w:space="0"/>
              <w:left w:val="single" w:color="auto" w:sz="4" w:space="0"/>
              <w:bottom w:val="single" w:color="auto" w:sz="4" w:space="0"/>
              <w:right w:val="nil"/>
            </w:tcBorders>
            <w:shd w:val="clear" w:color="000000" w:fill="D9D9D9"/>
            <w:noWrap/>
            <w:vAlign w:val="bottom"/>
            <w:hideMark/>
          </w:tcPr>
          <w:p w:rsidRPr="002671BE" w:rsidR="005D711A" w:rsidP="0018277D" w:rsidRDefault="005D711A">
            <w:pPr>
              <w:overflowPunct/>
              <w:autoSpaceDE/>
              <w:autoSpaceDN/>
              <w:adjustRightInd/>
              <w:textAlignment w:val="auto"/>
              <w:rPr>
                <w:rFonts w:ascii="Verdana" w:hAnsi="Verdana" w:cs="Calibri"/>
                <w:szCs w:val="18"/>
                <w:lang w:eastAsia="en-GB"/>
              </w:rPr>
            </w:pPr>
            <w:r w:rsidRPr="002671BE">
              <w:rPr>
                <w:rFonts w:ascii="Verdana" w:hAnsi="Verdana" w:cs="Calibri"/>
                <w:szCs w:val="18"/>
                <w:lang w:eastAsia="en-GB"/>
              </w:rPr>
              <w:t>Opening Position as at 31 March 201</w:t>
            </w:r>
            <w:r w:rsidR="0018277D">
              <w:rPr>
                <w:rFonts w:ascii="Verdana" w:hAnsi="Verdana" w:cs="Calibri"/>
                <w:szCs w:val="18"/>
                <w:lang w:eastAsia="en-GB"/>
              </w:rPr>
              <w:t>7</w:t>
            </w:r>
          </w:p>
        </w:tc>
        <w:tc>
          <w:tcPr>
            <w:tcW w:w="1135" w:type="dxa"/>
            <w:tcBorders>
              <w:top w:val="single" w:color="auto" w:sz="4" w:space="0"/>
              <w:left w:val="nil"/>
              <w:bottom w:val="single" w:color="auto" w:sz="4" w:space="0"/>
              <w:right w:val="nil"/>
            </w:tcBorders>
            <w:shd w:val="clear" w:color="000000" w:fill="D9D9D9"/>
            <w:noWrap/>
            <w:vAlign w:val="center"/>
            <w:hideMark/>
          </w:tcPr>
          <w:p w:rsidRPr="002671BE" w:rsidR="005D711A" w:rsidRDefault="0018277D">
            <w:pPr>
              <w:jc w:val="right"/>
              <w:rPr>
                <w:rFonts w:ascii="Verdana" w:hAnsi="Verdana"/>
                <w:szCs w:val="18"/>
              </w:rPr>
            </w:pPr>
            <w:r>
              <w:rPr>
                <w:rFonts w:ascii="Verdana" w:hAnsi="Verdana"/>
                <w:szCs w:val="18"/>
              </w:rPr>
              <w:t>97,466</w:t>
            </w:r>
            <w:r w:rsidRPr="002671BE" w:rsidR="005D711A">
              <w:rPr>
                <w:rFonts w:ascii="Verdana" w:hAnsi="Verdana"/>
                <w:szCs w:val="18"/>
              </w:rPr>
              <w:t xml:space="preserve"> </w:t>
            </w:r>
          </w:p>
        </w:tc>
        <w:tc>
          <w:tcPr>
            <w:tcW w:w="1234" w:type="dxa"/>
            <w:tcBorders>
              <w:top w:val="single" w:color="auto" w:sz="4" w:space="0"/>
              <w:left w:val="nil"/>
              <w:bottom w:val="single" w:color="auto" w:sz="4" w:space="0"/>
              <w:right w:val="nil"/>
            </w:tcBorders>
            <w:shd w:val="clear" w:color="000000" w:fill="D9D9D9"/>
            <w:noWrap/>
            <w:vAlign w:val="center"/>
            <w:hideMark/>
          </w:tcPr>
          <w:p w:rsidRPr="002671BE" w:rsidR="005D711A" w:rsidRDefault="0018277D">
            <w:pPr>
              <w:jc w:val="right"/>
              <w:rPr>
                <w:rFonts w:ascii="Verdana" w:hAnsi="Verdana"/>
                <w:szCs w:val="18"/>
              </w:rPr>
            </w:pPr>
            <w:r>
              <w:rPr>
                <w:rFonts w:ascii="Verdana" w:hAnsi="Verdana"/>
                <w:szCs w:val="18"/>
              </w:rPr>
              <w:t>98,200</w:t>
            </w:r>
            <w:r w:rsidRPr="002671BE" w:rsidR="005D711A">
              <w:rPr>
                <w:rFonts w:ascii="Verdana" w:hAnsi="Verdana"/>
                <w:szCs w:val="18"/>
              </w:rPr>
              <w:t xml:space="preserve"> </w:t>
            </w:r>
          </w:p>
        </w:tc>
        <w:tc>
          <w:tcPr>
            <w:tcW w:w="1580" w:type="dxa"/>
            <w:tcBorders>
              <w:top w:val="single" w:color="auto" w:sz="4" w:space="0"/>
              <w:left w:val="nil"/>
              <w:bottom w:val="single" w:color="auto" w:sz="4" w:space="0"/>
              <w:right w:val="single" w:color="auto" w:sz="4" w:space="0"/>
            </w:tcBorders>
            <w:shd w:val="clear" w:color="000000" w:fill="D9D9D9"/>
            <w:noWrap/>
            <w:vAlign w:val="center"/>
            <w:hideMark/>
          </w:tcPr>
          <w:p w:rsidRPr="002671BE" w:rsidR="005D711A" w:rsidP="0018277D" w:rsidRDefault="002671BE">
            <w:pPr>
              <w:jc w:val="right"/>
              <w:rPr>
                <w:rFonts w:ascii="Verdana" w:hAnsi="Verdana"/>
                <w:szCs w:val="18"/>
              </w:rPr>
            </w:pPr>
            <w:r w:rsidRPr="002671BE">
              <w:rPr>
                <w:rFonts w:ascii="Verdana" w:hAnsi="Verdana"/>
                <w:szCs w:val="18"/>
              </w:rPr>
              <w:t>(</w:t>
            </w:r>
            <w:r w:rsidR="0018277D">
              <w:rPr>
                <w:rFonts w:ascii="Verdana" w:hAnsi="Verdana"/>
                <w:szCs w:val="18"/>
              </w:rPr>
              <w:t>734</w:t>
            </w:r>
            <w:r w:rsidRPr="002671BE">
              <w:rPr>
                <w:rFonts w:ascii="Verdana" w:hAnsi="Verdana"/>
                <w:szCs w:val="18"/>
              </w:rPr>
              <w:t>)</w:t>
            </w:r>
            <w:r w:rsidRPr="002671BE" w:rsidR="005D711A">
              <w:rPr>
                <w:rFonts w:ascii="Verdana" w:hAnsi="Verdana"/>
                <w:szCs w:val="18"/>
              </w:rPr>
              <w:t xml:space="preserve"> </w:t>
            </w:r>
          </w:p>
        </w:tc>
      </w:tr>
      <w:tr w:rsidRPr="002671BE" w:rsidR="005D711A" w:rsidTr="00C92621">
        <w:trPr>
          <w:trHeight w:val="225"/>
        </w:trPr>
        <w:tc>
          <w:tcPr>
            <w:tcW w:w="5277" w:type="dxa"/>
            <w:tcBorders>
              <w:top w:val="nil"/>
              <w:left w:val="single" w:color="auto" w:sz="4" w:space="0"/>
              <w:bottom w:val="nil"/>
              <w:right w:val="nil"/>
            </w:tcBorders>
            <w:shd w:val="clear" w:color="000000" w:fill="D9D9D9"/>
            <w:noWrap/>
            <w:vAlign w:val="bottom"/>
            <w:hideMark/>
          </w:tcPr>
          <w:p w:rsidRPr="002671BE" w:rsidR="005D711A" w:rsidP="00FA64BE" w:rsidRDefault="005D711A">
            <w:pPr>
              <w:overflowPunct/>
              <w:autoSpaceDE/>
              <w:autoSpaceDN/>
              <w:adjustRightInd/>
              <w:textAlignment w:val="auto"/>
              <w:rPr>
                <w:rFonts w:ascii="Verdana" w:hAnsi="Verdana" w:cs="Calibri"/>
                <w:szCs w:val="18"/>
                <w:lang w:eastAsia="en-GB"/>
              </w:rPr>
            </w:pPr>
            <w:r w:rsidRPr="002671BE">
              <w:rPr>
                <w:rFonts w:ascii="Verdana" w:hAnsi="Verdana" w:cs="Calibri"/>
                <w:szCs w:val="18"/>
                <w:lang w:eastAsia="en-GB"/>
              </w:rPr>
              <w:t>Service cost</w:t>
            </w:r>
          </w:p>
        </w:tc>
        <w:tc>
          <w:tcPr>
            <w:tcW w:w="1135" w:type="dxa"/>
            <w:tcBorders>
              <w:top w:val="nil"/>
              <w:left w:val="nil"/>
              <w:bottom w:val="nil"/>
              <w:right w:val="nil"/>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w:t>
            </w:r>
          </w:p>
        </w:tc>
        <w:tc>
          <w:tcPr>
            <w:tcW w:w="1234" w:type="dxa"/>
            <w:tcBorders>
              <w:top w:val="nil"/>
              <w:left w:val="nil"/>
              <w:bottom w:val="nil"/>
              <w:right w:val="nil"/>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w:t>
            </w:r>
          </w:p>
        </w:tc>
        <w:tc>
          <w:tcPr>
            <w:tcW w:w="1580" w:type="dxa"/>
            <w:tcBorders>
              <w:top w:val="nil"/>
              <w:left w:val="nil"/>
              <w:bottom w:val="nil"/>
              <w:right w:val="single" w:color="auto" w:sz="4" w:space="0"/>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w:t>
            </w:r>
          </w:p>
        </w:tc>
      </w:tr>
      <w:tr w:rsidRPr="002671BE" w:rsidR="005D711A" w:rsidTr="00C92621">
        <w:trPr>
          <w:trHeight w:val="225"/>
        </w:trPr>
        <w:tc>
          <w:tcPr>
            <w:tcW w:w="5277" w:type="dxa"/>
            <w:tcBorders>
              <w:top w:val="nil"/>
              <w:left w:val="single" w:color="auto" w:sz="4" w:space="0"/>
              <w:bottom w:val="nil"/>
              <w:right w:val="nil"/>
            </w:tcBorders>
            <w:shd w:val="clear" w:color="000000" w:fill="D9D9D9"/>
            <w:noWrap/>
            <w:vAlign w:val="bottom"/>
            <w:hideMark/>
          </w:tcPr>
          <w:p w:rsidRPr="002671BE" w:rsidR="005D711A" w:rsidP="00FA64BE" w:rsidRDefault="005D711A">
            <w:pPr>
              <w:overflowPunct/>
              <w:autoSpaceDE/>
              <w:autoSpaceDN/>
              <w:adjustRightInd/>
              <w:ind w:firstLine="180" w:firstLineChars="100"/>
              <w:jc w:val="left"/>
              <w:textAlignment w:val="auto"/>
              <w:rPr>
                <w:rFonts w:ascii="Verdana" w:hAnsi="Verdana" w:cs="Calibri"/>
                <w:szCs w:val="18"/>
                <w:lang w:eastAsia="en-GB"/>
              </w:rPr>
            </w:pPr>
            <w:r w:rsidRPr="002671BE">
              <w:rPr>
                <w:rFonts w:ascii="Verdana" w:hAnsi="Verdana" w:cs="Calibri"/>
                <w:szCs w:val="18"/>
                <w:lang w:eastAsia="en-GB"/>
              </w:rPr>
              <w:t>Current service cost</w:t>
            </w:r>
          </w:p>
        </w:tc>
        <w:tc>
          <w:tcPr>
            <w:tcW w:w="1135" w:type="dxa"/>
            <w:tcBorders>
              <w:top w:val="nil"/>
              <w:left w:val="nil"/>
              <w:bottom w:val="nil"/>
              <w:right w:val="nil"/>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w:t>
            </w:r>
          </w:p>
        </w:tc>
        <w:tc>
          <w:tcPr>
            <w:tcW w:w="1234" w:type="dxa"/>
            <w:tcBorders>
              <w:top w:val="nil"/>
              <w:left w:val="nil"/>
              <w:bottom w:val="nil"/>
              <w:right w:val="nil"/>
            </w:tcBorders>
            <w:shd w:val="clear" w:color="000000" w:fill="D9D9D9"/>
            <w:noWrap/>
            <w:vAlign w:val="center"/>
            <w:hideMark/>
          </w:tcPr>
          <w:p w:rsidRPr="002671BE" w:rsidR="005D711A" w:rsidRDefault="0018277D">
            <w:pPr>
              <w:jc w:val="right"/>
              <w:rPr>
                <w:rFonts w:ascii="Verdana" w:hAnsi="Verdana"/>
                <w:szCs w:val="18"/>
              </w:rPr>
            </w:pPr>
            <w:r>
              <w:rPr>
                <w:rFonts w:ascii="Verdana" w:hAnsi="Verdana"/>
                <w:szCs w:val="18"/>
              </w:rPr>
              <w:t>4,275</w:t>
            </w:r>
            <w:r w:rsidRPr="002671BE" w:rsidR="005D711A">
              <w:rPr>
                <w:rFonts w:ascii="Verdana" w:hAnsi="Verdana"/>
                <w:szCs w:val="18"/>
              </w:rPr>
              <w:t xml:space="preserve"> </w:t>
            </w:r>
          </w:p>
        </w:tc>
        <w:tc>
          <w:tcPr>
            <w:tcW w:w="1580" w:type="dxa"/>
            <w:tcBorders>
              <w:top w:val="nil"/>
              <w:left w:val="nil"/>
              <w:bottom w:val="nil"/>
              <w:right w:val="single" w:color="auto" w:sz="4" w:space="0"/>
            </w:tcBorders>
            <w:shd w:val="clear" w:color="000000" w:fill="D9D9D9"/>
            <w:noWrap/>
            <w:vAlign w:val="center"/>
            <w:hideMark/>
          </w:tcPr>
          <w:p w:rsidRPr="002671BE" w:rsidR="005D711A" w:rsidP="0018277D" w:rsidRDefault="002671BE">
            <w:pPr>
              <w:jc w:val="right"/>
              <w:rPr>
                <w:rFonts w:ascii="Verdana" w:hAnsi="Verdana"/>
                <w:szCs w:val="18"/>
              </w:rPr>
            </w:pPr>
            <w:r w:rsidRPr="002671BE">
              <w:rPr>
                <w:rFonts w:ascii="Verdana" w:hAnsi="Verdana"/>
                <w:szCs w:val="18"/>
              </w:rPr>
              <w:t>(</w:t>
            </w:r>
            <w:r w:rsidR="0018277D">
              <w:rPr>
                <w:rFonts w:ascii="Verdana" w:hAnsi="Verdana"/>
                <w:szCs w:val="18"/>
              </w:rPr>
              <w:t>4</w:t>
            </w:r>
            <w:r w:rsidRPr="002671BE" w:rsidR="005D711A">
              <w:rPr>
                <w:rFonts w:ascii="Verdana" w:hAnsi="Verdana"/>
                <w:szCs w:val="18"/>
              </w:rPr>
              <w:t>,</w:t>
            </w:r>
            <w:r w:rsidR="0018277D">
              <w:rPr>
                <w:rFonts w:ascii="Verdana" w:hAnsi="Verdana"/>
                <w:szCs w:val="18"/>
              </w:rPr>
              <w:t>2</w:t>
            </w:r>
            <w:r w:rsidRPr="002671BE" w:rsidR="005D711A">
              <w:rPr>
                <w:rFonts w:ascii="Verdana" w:hAnsi="Verdana"/>
                <w:szCs w:val="18"/>
              </w:rPr>
              <w:t>7</w:t>
            </w:r>
            <w:r w:rsidR="0018277D">
              <w:rPr>
                <w:rFonts w:ascii="Verdana" w:hAnsi="Verdana"/>
                <w:szCs w:val="18"/>
              </w:rPr>
              <w:t>5</w:t>
            </w:r>
            <w:r w:rsidRPr="002671BE">
              <w:rPr>
                <w:rFonts w:ascii="Verdana" w:hAnsi="Verdana"/>
                <w:szCs w:val="18"/>
              </w:rPr>
              <w:t>)</w:t>
            </w:r>
            <w:r w:rsidRPr="002671BE" w:rsidR="005D711A">
              <w:rPr>
                <w:rFonts w:ascii="Verdana" w:hAnsi="Verdana"/>
                <w:szCs w:val="18"/>
              </w:rPr>
              <w:t xml:space="preserve"> </w:t>
            </w:r>
          </w:p>
        </w:tc>
      </w:tr>
      <w:tr w:rsidRPr="002671BE" w:rsidR="005D711A" w:rsidTr="00C92621">
        <w:trPr>
          <w:trHeight w:val="225"/>
        </w:trPr>
        <w:tc>
          <w:tcPr>
            <w:tcW w:w="5277" w:type="dxa"/>
            <w:tcBorders>
              <w:top w:val="nil"/>
              <w:left w:val="single" w:color="auto" w:sz="4" w:space="0"/>
              <w:bottom w:val="nil"/>
              <w:right w:val="nil"/>
            </w:tcBorders>
            <w:shd w:val="clear" w:color="000000" w:fill="D9D9D9"/>
            <w:noWrap/>
            <w:vAlign w:val="bottom"/>
            <w:hideMark/>
          </w:tcPr>
          <w:p w:rsidRPr="002671BE" w:rsidR="005D711A" w:rsidP="00FA64BE" w:rsidRDefault="005D711A">
            <w:pPr>
              <w:overflowPunct/>
              <w:autoSpaceDE/>
              <w:autoSpaceDN/>
              <w:adjustRightInd/>
              <w:ind w:firstLine="180" w:firstLineChars="100"/>
              <w:jc w:val="left"/>
              <w:textAlignment w:val="auto"/>
              <w:rPr>
                <w:rFonts w:ascii="Verdana" w:hAnsi="Verdana" w:cs="Calibri"/>
                <w:szCs w:val="18"/>
                <w:lang w:eastAsia="en-GB"/>
              </w:rPr>
            </w:pPr>
            <w:r w:rsidRPr="002671BE">
              <w:rPr>
                <w:rFonts w:ascii="Verdana" w:hAnsi="Verdana" w:cs="Calibri"/>
                <w:szCs w:val="18"/>
                <w:lang w:eastAsia="en-GB"/>
              </w:rPr>
              <w:t>Past service cost (including curtailments)</w:t>
            </w:r>
          </w:p>
        </w:tc>
        <w:tc>
          <w:tcPr>
            <w:tcW w:w="1135" w:type="dxa"/>
            <w:tcBorders>
              <w:top w:val="nil"/>
              <w:left w:val="nil"/>
              <w:bottom w:val="nil"/>
              <w:right w:val="nil"/>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w:t>
            </w:r>
          </w:p>
        </w:tc>
        <w:tc>
          <w:tcPr>
            <w:tcW w:w="1234" w:type="dxa"/>
            <w:tcBorders>
              <w:top w:val="nil"/>
              <w:left w:val="nil"/>
              <w:bottom w:val="nil"/>
              <w:right w:val="nil"/>
            </w:tcBorders>
            <w:shd w:val="clear" w:color="000000" w:fill="D9D9D9"/>
            <w:noWrap/>
            <w:vAlign w:val="center"/>
            <w:hideMark/>
          </w:tcPr>
          <w:p w:rsidRPr="002671BE" w:rsidR="005D711A" w:rsidRDefault="0018277D">
            <w:pPr>
              <w:jc w:val="right"/>
              <w:rPr>
                <w:rFonts w:ascii="Verdana" w:hAnsi="Verdana"/>
                <w:szCs w:val="18"/>
              </w:rPr>
            </w:pPr>
            <w:r>
              <w:rPr>
                <w:rFonts w:ascii="Verdana" w:hAnsi="Verdana"/>
                <w:szCs w:val="18"/>
              </w:rPr>
              <w:t>461</w:t>
            </w:r>
            <w:r w:rsidRPr="002671BE" w:rsidR="005D711A">
              <w:rPr>
                <w:rFonts w:ascii="Verdana" w:hAnsi="Verdana"/>
                <w:szCs w:val="18"/>
              </w:rPr>
              <w:t xml:space="preserve"> </w:t>
            </w:r>
          </w:p>
        </w:tc>
        <w:tc>
          <w:tcPr>
            <w:tcW w:w="1580" w:type="dxa"/>
            <w:tcBorders>
              <w:top w:val="nil"/>
              <w:left w:val="nil"/>
              <w:bottom w:val="nil"/>
              <w:right w:val="single" w:color="auto" w:sz="4" w:space="0"/>
            </w:tcBorders>
            <w:shd w:val="clear" w:color="000000" w:fill="D9D9D9"/>
            <w:noWrap/>
            <w:vAlign w:val="center"/>
            <w:hideMark/>
          </w:tcPr>
          <w:p w:rsidRPr="002671BE" w:rsidR="005D711A" w:rsidP="0018277D" w:rsidRDefault="002671BE">
            <w:pPr>
              <w:jc w:val="right"/>
              <w:rPr>
                <w:rFonts w:ascii="Verdana" w:hAnsi="Verdana"/>
                <w:szCs w:val="18"/>
              </w:rPr>
            </w:pPr>
            <w:r w:rsidRPr="002671BE">
              <w:rPr>
                <w:rFonts w:ascii="Verdana" w:hAnsi="Verdana"/>
                <w:szCs w:val="18"/>
              </w:rPr>
              <w:t>(</w:t>
            </w:r>
            <w:r w:rsidR="0018277D">
              <w:rPr>
                <w:rFonts w:ascii="Verdana" w:hAnsi="Verdana"/>
                <w:szCs w:val="18"/>
              </w:rPr>
              <w:t>461</w:t>
            </w:r>
            <w:r w:rsidRPr="002671BE">
              <w:rPr>
                <w:rFonts w:ascii="Verdana" w:hAnsi="Verdana"/>
                <w:szCs w:val="18"/>
              </w:rPr>
              <w:t>)</w:t>
            </w:r>
            <w:r w:rsidRPr="002671BE" w:rsidR="005D711A">
              <w:rPr>
                <w:rFonts w:ascii="Verdana" w:hAnsi="Verdana"/>
                <w:szCs w:val="18"/>
              </w:rPr>
              <w:t xml:space="preserve"> </w:t>
            </w:r>
          </w:p>
        </w:tc>
      </w:tr>
      <w:tr w:rsidRPr="002671BE" w:rsidR="005D711A" w:rsidTr="00C92621">
        <w:trPr>
          <w:trHeight w:val="225"/>
        </w:trPr>
        <w:tc>
          <w:tcPr>
            <w:tcW w:w="5277" w:type="dxa"/>
            <w:tcBorders>
              <w:top w:val="nil"/>
              <w:left w:val="single" w:color="auto" w:sz="4" w:space="0"/>
              <w:bottom w:val="nil"/>
              <w:right w:val="nil"/>
            </w:tcBorders>
            <w:shd w:val="clear" w:color="000000" w:fill="D9D9D9"/>
            <w:noWrap/>
            <w:vAlign w:val="bottom"/>
            <w:hideMark/>
          </w:tcPr>
          <w:p w:rsidRPr="002671BE" w:rsidR="005D711A" w:rsidP="00FA64BE" w:rsidRDefault="005D711A">
            <w:pPr>
              <w:overflowPunct/>
              <w:autoSpaceDE/>
              <w:autoSpaceDN/>
              <w:adjustRightInd/>
              <w:ind w:firstLine="180" w:firstLineChars="100"/>
              <w:jc w:val="left"/>
              <w:textAlignment w:val="auto"/>
              <w:rPr>
                <w:rFonts w:ascii="Verdana" w:hAnsi="Verdana" w:cs="Calibri"/>
                <w:szCs w:val="18"/>
                <w:lang w:eastAsia="en-GB"/>
              </w:rPr>
            </w:pPr>
            <w:r w:rsidRPr="002671BE">
              <w:rPr>
                <w:rFonts w:ascii="Verdana" w:hAnsi="Verdana" w:cs="Calibri"/>
                <w:szCs w:val="18"/>
                <w:lang w:eastAsia="en-GB"/>
              </w:rPr>
              <w:t>Effect of settlements</w:t>
            </w:r>
          </w:p>
        </w:tc>
        <w:tc>
          <w:tcPr>
            <w:tcW w:w="1135" w:type="dxa"/>
            <w:tcBorders>
              <w:top w:val="nil"/>
              <w:left w:val="nil"/>
              <w:bottom w:val="nil"/>
              <w:right w:val="nil"/>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xml:space="preserve">0 </w:t>
            </w:r>
          </w:p>
        </w:tc>
        <w:tc>
          <w:tcPr>
            <w:tcW w:w="1234" w:type="dxa"/>
            <w:tcBorders>
              <w:top w:val="nil"/>
              <w:left w:val="nil"/>
              <w:bottom w:val="nil"/>
              <w:right w:val="nil"/>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xml:space="preserve">0 </w:t>
            </w:r>
          </w:p>
        </w:tc>
        <w:tc>
          <w:tcPr>
            <w:tcW w:w="1580" w:type="dxa"/>
            <w:tcBorders>
              <w:top w:val="nil"/>
              <w:left w:val="nil"/>
              <w:bottom w:val="nil"/>
              <w:right w:val="single" w:color="auto" w:sz="4" w:space="0"/>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xml:space="preserve">0 </w:t>
            </w:r>
          </w:p>
        </w:tc>
      </w:tr>
      <w:tr w:rsidRPr="002671BE" w:rsidR="005D711A" w:rsidTr="00C92621">
        <w:trPr>
          <w:trHeight w:val="225"/>
        </w:trPr>
        <w:tc>
          <w:tcPr>
            <w:tcW w:w="5277" w:type="dxa"/>
            <w:tcBorders>
              <w:top w:val="single" w:color="auto" w:sz="4" w:space="0"/>
              <w:left w:val="single" w:color="auto" w:sz="4" w:space="0"/>
              <w:bottom w:val="single" w:color="auto" w:sz="4" w:space="0"/>
              <w:right w:val="nil"/>
            </w:tcBorders>
            <w:shd w:val="clear" w:color="000000" w:fill="D9D9D9"/>
            <w:noWrap/>
            <w:vAlign w:val="bottom"/>
            <w:hideMark/>
          </w:tcPr>
          <w:p w:rsidRPr="002671BE" w:rsidR="005D711A" w:rsidP="00FA64BE" w:rsidRDefault="005D711A">
            <w:pPr>
              <w:overflowPunct/>
              <w:autoSpaceDE/>
              <w:autoSpaceDN/>
              <w:adjustRightInd/>
              <w:jc w:val="left"/>
              <w:textAlignment w:val="auto"/>
              <w:rPr>
                <w:rFonts w:ascii="Verdana" w:hAnsi="Verdana" w:cs="Calibri"/>
                <w:szCs w:val="18"/>
                <w:lang w:eastAsia="en-GB"/>
              </w:rPr>
            </w:pPr>
            <w:r w:rsidRPr="002671BE">
              <w:rPr>
                <w:rFonts w:ascii="Verdana" w:hAnsi="Verdana" w:cs="Calibri"/>
                <w:szCs w:val="18"/>
                <w:lang w:eastAsia="en-GB"/>
              </w:rPr>
              <w:t>Total service cost</w:t>
            </w:r>
          </w:p>
        </w:tc>
        <w:tc>
          <w:tcPr>
            <w:tcW w:w="1135" w:type="dxa"/>
            <w:tcBorders>
              <w:top w:val="single" w:color="auto" w:sz="4" w:space="0"/>
              <w:left w:val="nil"/>
              <w:bottom w:val="single" w:color="auto" w:sz="4" w:space="0"/>
              <w:right w:val="nil"/>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xml:space="preserve">0 </w:t>
            </w:r>
          </w:p>
        </w:tc>
        <w:tc>
          <w:tcPr>
            <w:tcW w:w="1234" w:type="dxa"/>
            <w:tcBorders>
              <w:top w:val="single" w:color="auto" w:sz="4" w:space="0"/>
              <w:left w:val="nil"/>
              <w:bottom w:val="single" w:color="auto" w:sz="4" w:space="0"/>
              <w:right w:val="nil"/>
            </w:tcBorders>
            <w:shd w:val="clear" w:color="000000" w:fill="D9D9D9"/>
            <w:noWrap/>
            <w:vAlign w:val="center"/>
            <w:hideMark/>
          </w:tcPr>
          <w:p w:rsidRPr="002671BE" w:rsidR="005D711A" w:rsidRDefault="0018277D">
            <w:pPr>
              <w:jc w:val="right"/>
              <w:rPr>
                <w:rFonts w:ascii="Verdana" w:hAnsi="Verdana"/>
                <w:szCs w:val="18"/>
              </w:rPr>
            </w:pPr>
            <w:r>
              <w:rPr>
                <w:rFonts w:ascii="Verdana" w:hAnsi="Verdana"/>
                <w:szCs w:val="18"/>
              </w:rPr>
              <w:t>4,736</w:t>
            </w:r>
            <w:r w:rsidRPr="002671BE" w:rsidR="005D711A">
              <w:rPr>
                <w:rFonts w:ascii="Verdana" w:hAnsi="Verdana"/>
                <w:szCs w:val="18"/>
              </w:rPr>
              <w:t xml:space="preserve"> </w:t>
            </w:r>
          </w:p>
        </w:tc>
        <w:tc>
          <w:tcPr>
            <w:tcW w:w="1580" w:type="dxa"/>
            <w:tcBorders>
              <w:top w:val="single" w:color="auto" w:sz="4" w:space="0"/>
              <w:left w:val="nil"/>
              <w:bottom w:val="single" w:color="auto" w:sz="4" w:space="0"/>
              <w:right w:val="single" w:color="auto" w:sz="4" w:space="0"/>
            </w:tcBorders>
            <w:shd w:val="clear" w:color="000000" w:fill="D9D9D9"/>
            <w:noWrap/>
            <w:vAlign w:val="center"/>
            <w:hideMark/>
          </w:tcPr>
          <w:p w:rsidRPr="002671BE" w:rsidR="005D711A" w:rsidP="0018277D" w:rsidRDefault="0018277D">
            <w:pPr>
              <w:jc w:val="right"/>
              <w:rPr>
                <w:rFonts w:ascii="Verdana" w:hAnsi="Verdana"/>
                <w:szCs w:val="18"/>
              </w:rPr>
            </w:pPr>
            <w:r>
              <w:rPr>
                <w:rFonts w:ascii="Verdana" w:hAnsi="Verdana"/>
                <w:szCs w:val="18"/>
              </w:rPr>
              <w:t>(4</w:t>
            </w:r>
            <w:r w:rsidRPr="002671BE" w:rsidR="005D711A">
              <w:rPr>
                <w:rFonts w:ascii="Verdana" w:hAnsi="Verdana"/>
                <w:szCs w:val="18"/>
              </w:rPr>
              <w:t>,</w:t>
            </w:r>
            <w:r>
              <w:rPr>
                <w:rFonts w:ascii="Verdana" w:hAnsi="Verdana"/>
                <w:szCs w:val="18"/>
              </w:rPr>
              <w:t>7</w:t>
            </w:r>
            <w:r w:rsidRPr="002671BE" w:rsidR="005D711A">
              <w:rPr>
                <w:rFonts w:ascii="Verdana" w:hAnsi="Verdana"/>
                <w:szCs w:val="18"/>
              </w:rPr>
              <w:t>36</w:t>
            </w:r>
            <w:r>
              <w:rPr>
                <w:rFonts w:ascii="Verdana" w:hAnsi="Verdana"/>
                <w:szCs w:val="18"/>
              </w:rPr>
              <w:t>)</w:t>
            </w:r>
            <w:r w:rsidRPr="002671BE" w:rsidR="005D711A">
              <w:rPr>
                <w:rFonts w:ascii="Verdana" w:hAnsi="Verdana"/>
                <w:szCs w:val="18"/>
              </w:rPr>
              <w:t xml:space="preserve"> </w:t>
            </w:r>
          </w:p>
        </w:tc>
      </w:tr>
      <w:tr w:rsidRPr="002671BE" w:rsidR="005D711A" w:rsidTr="00C92621">
        <w:trPr>
          <w:trHeight w:val="225"/>
        </w:trPr>
        <w:tc>
          <w:tcPr>
            <w:tcW w:w="5277" w:type="dxa"/>
            <w:tcBorders>
              <w:top w:val="nil"/>
              <w:left w:val="single" w:color="auto" w:sz="4" w:space="0"/>
              <w:bottom w:val="nil"/>
              <w:right w:val="nil"/>
            </w:tcBorders>
            <w:shd w:val="clear" w:color="000000" w:fill="D9D9D9"/>
            <w:noWrap/>
            <w:vAlign w:val="bottom"/>
            <w:hideMark/>
          </w:tcPr>
          <w:p w:rsidRPr="002671BE" w:rsidR="005D711A" w:rsidP="00FA64BE" w:rsidRDefault="005D711A">
            <w:pPr>
              <w:overflowPunct/>
              <w:autoSpaceDE/>
              <w:autoSpaceDN/>
              <w:adjustRightInd/>
              <w:jc w:val="left"/>
              <w:textAlignment w:val="auto"/>
              <w:rPr>
                <w:rFonts w:ascii="Verdana" w:hAnsi="Verdana" w:cs="Calibri"/>
                <w:szCs w:val="18"/>
                <w:lang w:eastAsia="en-GB"/>
              </w:rPr>
            </w:pPr>
            <w:r w:rsidRPr="002671BE">
              <w:rPr>
                <w:rFonts w:ascii="Verdana" w:hAnsi="Verdana" w:cs="Calibri"/>
                <w:szCs w:val="18"/>
                <w:lang w:eastAsia="en-GB"/>
              </w:rPr>
              <w:t>Net interest</w:t>
            </w:r>
          </w:p>
        </w:tc>
        <w:tc>
          <w:tcPr>
            <w:tcW w:w="1135" w:type="dxa"/>
            <w:tcBorders>
              <w:top w:val="nil"/>
              <w:left w:val="nil"/>
              <w:bottom w:val="nil"/>
              <w:right w:val="nil"/>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w:t>
            </w:r>
          </w:p>
        </w:tc>
        <w:tc>
          <w:tcPr>
            <w:tcW w:w="1234" w:type="dxa"/>
            <w:tcBorders>
              <w:top w:val="nil"/>
              <w:left w:val="nil"/>
              <w:bottom w:val="nil"/>
              <w:right w:val="nil"/>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w:t>
            </w:r>
          </w:p>
        </w:tc>
        <w:tc>
          <w:tcPr>
            <w:tcW w:w="1580" w:type="dxa"/>
            <w:tcBorders>
              <w:top w:val="nil"/>
              <w:left w:val="nil"/>
              <w:bottom w:val="nil"/>
              <w:right w:val="single" w:color="auto" w:sz="4" w:space="0"/>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w:t>
            </w:r>
          </w:p>
        </w:tc>
      </w:tr>
      <w:tr w:rsidRPr="002671BE" w:rsidR="005D711A" w:rsidTr="00C92621">
        <w:trPr>
          <w:trHeight w:val="225"/>
        </w:trPr>
        <w:tc>
          <w:tcPr>
            <w:tcW w:w="5277" w:type="dxa"/>
            <w:tcBorders>
              <w:top w:val="nil"/>
              <w:left w:val="single" w:color="auto" w:sz="4" w:space="0"/>
              <w:bottom w:val="nil"/>
              <w:right w:val="nil"/>
            </w:tcBorders>
            <w:shd w:val="clear" w:color="000000" w:fill="D9D9D9"/>
            <w:noWrap/>
            <w:vAlign w:val="bottom"/>
            <w:hideMark/>
          </w:tcPr>
          <w:p w:rsidRPr="002671BE" w:rsidR="005D711A" w:rsidP="00FA64BE" w:rsidRDefault="005D711A">
            <w:pPr>
              <w:overflowPunct/>
              <w:autoSpaceDE/>
              <w:autoSpaceDN/>
              <w:adjustRightInd/>
              <w:ind w:firstLine="180" w:firstLineChars="100"/>
              <w:jc w:val="left"/>
              <w:textAlignment w:val="auto"/>
              <w:rPr>
                <w:rFonts w:ascii="Verdana" w:hAnsi="Verdana" w:cs="Calibri"/>
                <w:szCs w:val="18"/>
                <w:lang w:eastAsia="en-GB"/>
              </w:rPr>
            </w:pPr>
            <w:r w:rsidRPr="002671BE">
              <w:rPr>
                <w:rFonts w:ascii="Verdana" w:hAnsi="Verdana" w:cs="Calibri"/>
                <w:szCs w:val="18"/>
                <w:lang w:eastAsia="en-GB"/>
              </w:rPr>
              <w:t>Interest income on plan assets</w:t>
            </w:r>
          </w:p>
        </w:tc>
        <w:tc>
          <w:tcPr>
            <w:tcW w:w="1135" w:type="dxa"/>
            <w:tcBorders>
              <w:top w:val="nil"/>
              <w:left w:val="nil"/>
              <w:bottom w:val="nil"/>
              <w:right w:val="nil"/>
            </w:tcBorders>
            <w:shd w:val="clear" w:color="000000" w:fill="D9D9D9"/>
            <w:noWrap/>
            <w:vAlign w:val="center"/>
            <w:hideMark/>
          </w:tcPr>
          <w:p w:rsidRPr="002671BE" w:rsidR="005D711A" w:rsidP="0018277D" w:rsidRDefault="005D711A">
            <w:pPr>
              <w:jc w:val="right"/>
              <w:rPr>
                <w:rFonts w:ascii="Verdana" w:hAnsi="Verdana"/>
                <w:szCs w:val="18"/>
              </w:rPr>
            </w:pPr>
            <w:r w:rsidRPr="002671BE">
              <w:rPr>
                <w:rFonts w:ascii="Verdana" w:hAnsi="Verdana"/>
                <w:szCs w:val="18"/>
              </w:rPr>
              <w:t>2,</w:t>
            </w:r>
            <w:r w:rsidR="0018277D">
              <w:rPr>
                <w:rFonts w:ascii="Verdana" w:hAnsi="Verdana"/>
                <w:szCs w:val="18"/>
              </w:rPr>
              <w:t>559</w:t>
            </w:r>
            <w:r w:rsidRPr="002671BE">
              <w:rPr>
                <w:rFonts w:ascii="Verdana" w:hAnsi="Verdana"/>
                <w:szCs w:val="18"/>
              </w:rPr>
              <w:t xml:space="preserve"> </w:t>
            </w:r>
          </w:p>
        </w:tc>
        <w:tc>
          <w:tcPr>
            <w:tcW w:w="1234" w:type="dxa"/>
            <w:tcBorders>
              <w:top w:val="nil"/>
              <w:left w:val="nil"/>
              <w:bottom w:val="nil"/>
              <w:right w:val="nil"/>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w:t>
            </w:r>
          </w:p>
        </w:tc>
        <w:tc>
          <w:tcPr>
            <w:tcW w:w="1580" w:type="dxa"/>
            <w:tcBorders>
              <w:top w:val="nil"/>
              <w:left w:val="nil"/>
              <w:bottom w:val="nil"/>
              <w:right w:val="single" w:color="auto" w:sz="4" w:space="0"/>
            </w:tcBorders>
            <w:shd w:val="clear" w:color="000000" w:fill="D9D9D9"/>
            <w:noWrap/>
            <w:vAlign w:val="center"/>
            <w:hideMark/>
          </w:tcPr>
          <w:p w:rsidRPr="002671BE" w:rsidR="005D711A" w:rsidP="0018277D" w:rsidRDefault="005D711A">
            <w:pPr>
              <w:jc w:val="right"/>
              <w:rPr>
                <w:rFonts w:ascii="Verdana" w:hAnsi="Verdana"/>
                <w:szCs w:val="18"/>
              </w:rPr>
            </w:pPr>
            <w:r w:rsidRPr="002671BE">
              <w:rPr>
                <w:rFonts w:ascii="Verdana" w:hAnsi="Verdana"/>
                <w:szCs w:val="18"/>
              </w:rPr>
              <w:t>2,</w:t>
            </w:r>
            <w:r w:rsidR="0018277D">
              <w:rPr>
                <w:rFonts w:ascii="Verdana" w:hAnsi="Verdana"/>
                <w:szCs w:val="18"/>
              </w:rPr>
              <w:t>55</w:t>
            </w:r>
            <w:r w:rsidRPr="002671BE">
              <w:rPr>
                <w:rFonts w:ascii="Verdana" w:hAnsi="Verdana"/>
                <w:szCs w:val="18"/>
              </w:rPr>
              <w:t xml:space="preserve">9 </w:t>
            </w:r>
          </w:p>
        </w:tc>
      </w:tr>
      <w:tr w:rsidRPr="002671BE" w:rsidR="005D711A" w:rsidTr="00C92621">
        <w:trPr>
          <w:trHeight w:val="225"/>
        </w:trPr>
        <w:tc>
          <w:tcPr>
            <w:tcW w:w="5277" w:type="dxa"/>
            <w:tcBorders>
              <w:top w:val="nil"/>
              <w:left w:val="single" w:color="auto" w:sz="4" w:space="0"/>
              <w:bottom w:val="nil"/>
              <w:right w:val="nil"/>
            </w:tcBorders>
            <w:shd w:val="clear" w:color="000000" w:fill="D9D9D9"/>
            <w:noWrap/>
            <w:hideMark/>
          </w:tcPr>
          <w:p w:rsidRPr="002671BE" w:rsidR="005D711A" w:rsidP="00FA64BE" w:rsidRDefault="005D711A">
            <w:pPr>
              <w:overflowPunct/>
              <w:autoSpaceDE/>
              <w:autoSpaceDN/>
              <w:adjustRightInd/>
              <w:ind w:firstLine="180" w:firstLineChars="100"/>
              <w:jc w:val="left"/>
              <w:textAlignment w:val="auto"/>
              <w:rPr>
                <w:rFonts w:ascii="Verdana" w:hAnsi="Verdana" w:cs="Calibri"/>
                <w:szCs w:val="18"/>
                <w:lang w:eastAsia="en-GB"/>
              </w:rPr>
            </w:pPr>
            <w:r w:rsidRPr="002671BE">
              <w:rPr>
                <w:rFonts w:ascii="Verdana" w:hAnsi="Verdana" w:cs="Calibri"/>
                <w:szCs w:val="18"/>
                <w:lang w:eastAsia="en-GB"/>
              </w:rPr>
              <w:t>Interest cost on defined benefit obligations</w:t>
            </w:r>
          </w:p>
        </w:tc>
        <w:tc>
          <w:tcPr>
            <w:tcW w:w="1135" w:type="dxa"/>
            <w:tcBorders>
              <w:top w:val="nil"/>
              <w:left w:val="nil"/>
              <w:bottom w:val="nil"/>
              <w:right w:val="nil"/>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w:t>
            </w:r>
          </w:p>
        </w:tc>
        <w:tc>
          <w:tcPr>
            <w:tcW w:w="1234" w:type="dxa"/>
            <w:tcBorders>
              <w:top w:val="nil"/>
              <w:left w:val="nil"/>
              <w:bottom w:val="nil"/>
              <w:right w:val="nil"/>
            </w:tcBorders>
            <w:shd w:val="clear" w:color="000000" w:fill="D9D9D9"/>
            <w:noWrap/>
            <w:vAlign w:val="center"/>
            <w:hideMark/>
          </w:tcPr>
          <w:p w:rsidRPr="002671BE" w:rsidR="005D711A" w:rsidP="0018277D" w:rsidRDefault="0018277D">
            <w:pPr>
              <w:jc w:val="right"/>
              <w:rPr>
                <w:rFonts w:ascii="Verdana" w:hAnsi="Verdana"/>
                <w:szCs w:val="18"/>
              </w:rPr>
            </w:pPr>
            <w:r>
              <w:rPr>
                <w:rFonts w:ascii="Verdana" w:hAnsi="Verdana"/>
                <w:szCs w:val="18"/>
              </w:rPr>
              <w:t>2</w:t>
            </w:r>
            <w:r w:rsidRPr="002671BE" w:rsidR="005D711A">
              <w:rPr>
                <w:rFonts w:ascii="Verdana" w:hAnsi="Verdana"/>
                <w:szCs w:val="18"/>
              </w:rPr>
              <w:t>,</w:t>
            </w:r>
            <w:r>
              <w:rPr>
                <w:rFonts w:ascii="Verdana" w:hAnsi="Verdana"/>
                <w:szCs w:val="18"/>
              </w:rPr>
              <w:t>606</w:t>
            </w:r>
            <w:r w:rsidRPr="002671BE" w:rsidR="005D711A">
              <w:rPr>
                <w:rFonts w:ascii="Verdana" w:hAnsi="Verdana"/>
                <w:szCs w:val="18"/>
              </w:rPr>
              <w:t xml:space="preserve"> </w:t>
            </w:r>
          </w:p>
        </w:tc>
        <w:tc>
          <w:tcPr>
            <w:tcW w:w="1580" w:type="dxa"/>
            <w:tcBorders>
              <w:top w:val="nil"/>
              <w:left w:val="nil"/>
              <w:bottom w:val="nil"/>
              <w:right w:val="single" w:color="auto" w:sz="4" w:space="0"/>
            </w:tcBorders>
            <w:shd w:val="clear" w:color="000000" w:fill="D9D9D9"/>
            <w:noWrap/>
            <w:vAlign w:val="center"/>
            <w:hideMark/>
          </w:tcPr>
          <w:p w:rsidRPr="002671BE" w:rsidR="005D711A" w:rsidP="0018277D" w:rsidRDefault="002671BE">
            <w:pPr>
              <w:jc w:val="right"/>
              <w:rPr>
                <w:rFonts w:ascii="Verdana" w:hAnsi="Verdana"/>
                <w:szCs w:val="18"/>
              </w:rPr>
            </w:pPr>
            <w:r w:rsidRPr="002671BE">
              <w:rPr>
                <w:rFonts w:ascii="Verdana" w:hAnsi="Verdana"/>
                <w:szCs w:val="18"/>
              </w:rPr>
              <w:t>(</w:t>
            </w:r>
            <w:r w:rsidR="0018277D">
              <w:rPr>
                <w:rFonts w:ascii="Verdana" w:hAnsi="Verdana"/>
                <w:szCs w:val="18"/>
              </w:rPr>
              <w:t>2</w:t>
            </w:r>
            <w:r w:rsidRPr="002671BE" w:rsidR="005D711A">
              <w:rPr>
                <w:rFonts w:ascii="Verdana" w:hAnsi="Verdana"/>
                <w:szCs w:val="18"/>
              </w:rPr>
              <w:t>,</w:t>
            </w:r>
            <w:r w:rsidR="0018277D">
              <w:rPr>
                <w:rFonts w:ascii="Verdana" w:hAnsi="Verdana"/>
                <w:szCs w:val="18"/>
              </w:rPr>
              <w:t>606</w:t>
            </w:r>
            <w:r w:rsidRPr="002671BE">
              <w:rPr>
                <w:rFonts w:ascii="Verdana" w:hAnsi="Verdana"/>
                <w:szCs w:val="18"/>
              </w:rPr>
              <w:t>)</w:t>
            </w:r>
            <w:r w:rsidRPr="002671BE" w:rsidR="005D711A">
              <w:rPr>
                <w:rFonts w:ascii="Verdana" w:hAnsi="Verdana"/>
                <w:szCs w:val="18"/>
              </w:rPr>
              <w:t xml:space="preserve"> </w:t>
            </w:r>
          </w:p>
        </w:tc>
      </w:tr>
      <w:tr w:rsidRPr="002671BE" w:rsidR="005D711A" w:rsidTr="00C92621">
        <w:trPr>
          <w:trHeight w:val="225"/>
        </w:trPr>
        <w:tc>
          <w:tcPr>
            <w:tcW w:w="5277" w:type="dxa"/>
            <w:tcBorders>
              <w:top w:val="nil"/>
              <w:left w:val="single" w:color="auto" w:sz="4" w:space="0"/>
              <w:bottom w:val="nil"/>
              <w:right w:val="nil"/>
            </w:tcBorders>
            <w:shd w:val="clear" w:color="000000" w:fill="D9D9D9"/>
            <w:noWrap/>
            <w:hideMark/>
          </w:tcPr>
          <w:p w:rsidRPr="002671BE" w:rsidR="005D711A" w:rsidP="00FA64BE" w:rsidRDefault="005D711A">
            <w:pPr>
              <w:overflowPunct/>
              <w:autoSpaceDE/>
              <w:autoSpaceDN/>
              <w:adjustRightInd/>
              <w:ind w:firstLine="180" w:firstLineChars="100"/>
              <w:jc w:val="left"/>
              <w:textAlignment w:val="auto"/>
              <w:rPr>
                <w:rFonts w:ascii="Verdana" w:hAnsi="Verdana" w:cs="Calibri"/>
                <w:szCs w:val="18"/>
                <w:lang w:eastAsia="en-GB"/>
              </w:rPr>
            </w:pPr>
            <w:r w:rsidRPr="002671BE">
              <w:rPr>
                <w:rFonts w:ascii="Verdana" w:hAnsi="Verdana" w:cs="Calibri"/>
                <w:szCs w:val="18"/>
                <w:lang w:eastAsia="en-GB"/>
              </w:rPr>
              <w:t>Impact of asset ceiling on net interest</w:t>
            </w:r>
          </w:p>
        </w:tc>
        <w:tc>
          <w:tcPr>
            <w:tcW w:w="1135" w:type="dxa"/>
            <w:tcBorders>
              <w:top w:val="nil"/>
              <w:left w:val="nil"/>
              <w:bottom w:val="nil"/>
              <w:right w:val="nil"/>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xml:space="preserve">0 </w:t>
            </w:r>
          </w:p>
        </w:tc>
        <w:tc>
          <w:tcPr>
            <w:tcW w:w="1234" w:type="dxa"/>
            <w:tcBorders>
              <w:top w:val="nil"/>
              <w:left w:val="nil"/>
              <w:bottom w:val="nil"/>
              <w:right w:val="nil"/>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xml:space="preserve">0 </w:t>
            </w:r>
          </w:p>
        </w:tc>
        <w:tc>
          <w:tcPr>
            <w:tcW w:w="1580" w:type="dxa"/>
            <w:tcBorders>
              <w:top w:val="nil"/>
              <w:left w:val="nil"/>
              <w:bottom w:val="nil"/>
              <w:right w:val="single" w:color="auto" w:sz="4" w:space="0"/>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xml:space="preserve">0 </w:t>
            </w:r>
          </w:p>
        </w:tc>
      </w:tr>
      <w:tr w:rsidRPr="002671BE" w:rsidR="005D711A" w:rsidTr="00C92621">
        <w:trPr>
          <w:trHeight w:val="225"/>
        </w:trPr>
        <w:tc>
          <w:tcPr>
            <w:tcW w:w="5277" w:type="dxa"/>
            <w:tcBorders>
              <w:top w:val="single" w:color="auto" w:sz="4" w:space="0"/>
              <w:left w:val="single" w:color="auto" w:sz="4" w:space="0"/>
              <w:bottom w:val="nil"/>
              <w:right w:val="nil"/>
            </w:tcBorders>
            <w:shd w:val="clear" w:color="000000" w:fill="D9D9D9"/>
            <w:noWrap/>
            <w:hideMark/>
          </w:tcPr>
          <w:p w:rsidRPr="002671BE" w:rsidR="005D711A" w:rsidP="00FA64BE" w:rsidRDefault="005D711A">
            <w:pPr>
              <w:overflowPunct/>
              <w:autoSpaceDE/>
              <w:autoSpaceDN/>
              <w:adjustRightInd/>
              <w:jc w:val="left"/>
              <w:textAlignment w:val="auto"/>
              <w:rPr>
                <w:rFonts w:ascii="Verdana" w:hAnsi="Verdana" w:cs="Calibri"/>
                <w:szCs w:val="18"/>
                <w:lang w:eastAsia="en-GB"/>
              </w:rPr>
            </w:pPr>
            <w:r w:rsidRPr="002671BE">
              <w:rPr>
                <w:rFonts w:ascii="Verdana" w:hAnsi="Verdana" w:cs="Calibri"/>
                <w:szCs w:val="18"/>
                <w:lang w:eastAsia="en-GB"/>
              </w:rPr>
              <w:t>Total net interest</w:t>
            </w:r>
          </w:p>
        </w:tc>
        <w:tc>
          <w:tcPr>
            <w:tcW w:w="1135" w:type="dxa"/>
            <w:tcBorders>
              <w:top w:val="single" w:color="auto" w:sz="4" w:space="0"/>
              <w:left w:val="nil"/>
              <w:bottom w:val="nil"/>
              <w:right w:val="nil"/>
            </w:tcBorders>
            <w:shd w:val="clear" w:color="000000" w:fill="D9D9D9"/>
            <w:noWrap/>
            <w:vAlign w:val="center"/>
            <w:hideMark/>
          </w:tcPr>
          <w:p w:rsidRPr="002671BE" w:rsidR="005D711A" w:rsidP="0018277D" w:rsidRDefault="005D711A">
            <w:pPr>
              <w:jc w:val="right"/>
              <w:rPr>
                <w:rFonts w:ascii="Verdana" w:hAnsi="Verdana"/>
                <w:szCs w:val="18"/>
              </w:rPr>
            </w:pPr>
            <w:r w:rsidRPr="002671BE">
              <w:rPr>
                <w:rFonts w:ascii="Verdana" w:hAnsi="Verdana"/>
                <w:szCs w:val="18"/>
              </w:rPr>
              <w:t>2,</w:t>
            </w:r>
            <w:r w:rsidR="0018277D">
              <w:rPr>
                <w:rFonts w:ascii="Verdana" w:hAnsi="Verdana"/>
                <w:szCs w:val="18"/>
              </w:rPr>
              <w:t>559</w:t>
            </w:r>
            <w:r w:rsidRPr="002671BE">
              <w:rPr>
                <w:rFonts w:ascii="Verdana" w:hAnsi="Verdana"/>
                <w:szCs w:val="18"/>
              </w:rPr>
              <w:t xml:space="preserve"> </w:t>
            </w:r>
          </w:p>
        </w:tc>
        <w:tc>
          <w:tcPr>
            <w:tcW w:w="1234" w:type="dxa"/>
            <w:tcBorders>
              <w:top w:val="single" w:color="auto" w:sz="4" w:space="0"/>
              <w:left w:val="nil"/>
              <w:bottom w:val="nil"/>
              <w:right w:val="nil"/>
            </w:tcBorders>
            <w:shd w:val="clear" w:color="000000" w:fill="D9D9D9"/>
            <w:noWrap/>
            <w:vAlign w:val="center"/>
            <w:hideMark/>
          </w:tcPr>
          <w:p w:rsidRPr="002671BE" w:rsidR="005D711A" w:rsidP="0018277D" w:rsidRDefault="0018277D">
            <w:pPr>
              <w:jc w:val="right"/>
              <w:rPr>
                <w:rFonts w:ascii="Verdana" w:hAnsi="Verdana"/>
                <w:szCs w:val="18"/>
              </w:rPr>
            </w:pPr>
            <w:r>
              <w:rPr>
                <w:rFonts w:ascii="Verdana" w:hAnsi="Verdana"/>
                <w:szCs w:val="18"/>
              </w:rPr>
              <w:t>2</w:t>
            </w:r>
            <w:r w:rsidRPr="002671BE" w:rsidR="005D711A">
              <w:rPr>
                <w:rFonts w:ascii="Verdana" w:hAnsi="Verdana"/>
                <w:szCs w:val="18"/>
              </w:rPr>
              <w:t>,</w:t>
            </w:r>
            <w:r>
              <w:rPr>
                <w:rFonts w:ascii="Verdana" w:hAnsi="Verdana"/>
                <w:szCs w:val="18"/>
              </w:rPr>
              <w:t>606</w:t>
            </w:r>
            <w:r w:rsidRPr="002671BE" w:rsidR="005D711A">
              <w:rPr>
                <w:rFonts w:ascii="Verdana" w:hAnsi="Verdana"/>
                <w:szCs w:val="18"/>
              </w:rPr>
              <w:t xml:space="preserve"> </w:t>
            </w:r>
          </w:p>
        </w:tc>
        <w:tc>
          <w:tcPr>
            <w:tcW w:w="1580" w:type="dxa"/>
            <w:tcBorders>
              <w:top w:val="single" w:color="auto" w:sz="4" w:space="0"/>
              <w:left w:val="nil"/>
              <w:bottom w:val="nil"/>
              <w:right w:val="single" w:color="auto" w:sz="4" w:space="0"/>
            </w:tcBorders>
            <w:shd w:val="clear" w:color="000000" w:fill="D9D9D9"/>
            <w:noWrap/>
            <w:vAlign w:val="center"/>
            <w:hideMark/>
          </w:tcPr>
          <w:p w:rsidRPr="002671BE" w:rsidR="005D711A" w:rsidP="0018277D" w:rsidRDefault="002671BE">
            <w:pPr>
              <w:jc w:val="right"/>
              <w:rPr>
                <w:rFonts w:ascii="Verdana" w:hAnsi="Verdana"/>
                <w:szCs w:val="18"/>
              </w:rPr>
            </w:pPr>
            <w:r w:rsidRPr="002671BE">
              <w:rPr>
                <w:rFonts w:ascii="Verdana" w:hAnsi="Verdana"/>
                <w:szCs w:val="18"/>
              </w:rPr>
              <w:t>(</w:t>
            </w:r>
            <w:r w:rsidR="0018277D">
              <w:rPr>
                <w:rFonts w:ascii="Verdana" w:hAnsi="Verdana"/>
                <w:szCs w:val="18"/>
              </w:rPr>
              <w:t>47</w:t>
            </w:r>
            <w:r w:rsidRPr="002671BE">
              <w:rPr>
                <w:rFonts w:ascii="Verdana" w:hAnsi="Verdana"/>
                <w:szCs w:val="18"/>
              </w:rPr>
              <w:t>)</w:t>
            </w:r>
            <w:r w:rsidRPr="002671BE" w:rsidR="005D711A">
              <w:rPr>
                <w:rFonts w:ascii="Verdana" w:hAnsi="Verdana"/>
                <w:szCs w:val="18"/>
              </w:rPr>
              <w:t xml:space="preserve"> </w:t>
            </w:r>
          </w:p>
        </w:tc>
      </w:tr>
      <w:tr w:rsidRPr="002671BE" w:rsidR="005D711A" w:rsidTr="00C92621">
        <w:trPr>
          <w:trHeight w:val="225"/>
        </w:trPr>
        <w:tc>
          <w:tcPr>
            <w:tcW w:w="5277" w:type="dxa"/>
            <w:tcBorders>
              <w:top w:val="single" w:color="auto" w:sz="4" w:space="0"/>
              <w:left w:val="single" w:color="auto" w:sz="4" w:space="0"/>
              <w:bottom w:val="single" w:color="auto" w:sz="4" w:space="0"/>
              <w:right w:val="nil"/>
            </w:tcBorders>
            <w:shd w:val="clear" w:color="000000" w:fill="D9D9D9"/>
            <w:noWrap/>
            <w:hideMark/>
          </w:tcPr>
          <w:p w:rsidRPr="002671BE" w:rsidR="005D711A" w:rsidP="00FA64BE" w:rsidRDefault="005D711A">
            <w:pPr>
              <w:overflowPunct/>
              <w:autoSpaceDE/>
              <w:autoSpaceDN/>
              <w:adjustRightInd/>
              <w:jc w:val="left"/>
              <w:textAlignment w:val="auto"/>
              <w:rPr>
                <w:rFonts w:ascii="Verdana" w:hAnsi="Verdana" w:cs="Calibri"/>
                <w:szCs w:val="18"/>
                <w:lang w:eastAsia="en-GB"/>
              </w:rPr>
            </w:pPr>
            <w:r w:rsidRPr="002671BE">
              <w:rPr>
                <w:rFonts w:ascii="Verdana" w:hAnsi="Verdana" w:cs="Calibri"/>
                <w:szCs w:val="18"/>
                <w:lang w:eastAsia="en-GB"/>
              </w:rPr>
              <w:t>Total defined benefit cost recognised in Profit/(Loss)</w:t>
            </w:r>
          </w:p>
        </w:tc>
        <w:tc>
          <w:tcPr>
            <w:tcW w:w="1135" w:type="dxa"/>
            <w:tcBorders>
              <w:top w:val="single" w:color="auto" w:sz="4" w:space="0"/>
              <w:left w:val="nil"/>
              <w:bottom w:val="single" w:color="auto" w:sz="4" w:space="0"/>
              <w:right w:val="nil"/>
            </w:tcBorders>
            <w:shd w:val="clear" w:color="000000" w:fill="D9D9D9"/>
            <w:noWrap/>
            <w:vAlign w:val="center"/>
            <w:hideMark/>
          </w:tcPr>
          <w:p w:rsidRPr="002671BE" w:rsidR="005D711A" w:rsidP="0018277D" w:rsidRDefault="005D711A">
            <w:pPr>
              <w:jc w:val="right"/>
              <w:rPr>
                <w:rFonts w:ascii="Verdana" w:hAnsi="Verdana"/>
                <w:szCs w:val="18"/>
              </w:rPr>
            </w:pPr>
            <w:r w:rsidRPr="002671BE">
              <w:rPr>
                <w:rFonts w:ascii="Verdana" w:hAnsi="Verdana"/>
                <w:szCs w:val="18"/>
              </w:rPr>
              <w:t>2,</w:t>
            </w:r>
            <w:r w:rsidR="0018277D">
              <w:rPr>
                <w:rFonts w:ascii="Verdana" w:hAnsi="Verdana"/>
                <w:szCs w:val="18"/>
              </w:rPr>
              <w:t>559</w:t>
            </w:r>
            <w:r w:rsidRPr="002671BE">
              <w:rPr>
                <w:rFonts w:ascii="Verdana" w:hAnsi="Verdana"/>
                <w:szCs w:val="18"/>
              </w:rPr>
              <w:t xml:space="preserve"> </w:t>
            </w:r>
          </w:p>
        </w:tc>
        <w:tc>
          <w:tcPr>
            <w:tcW w:w="1234" w:type="dxa"/>
            <w:tcBorders>
              <w:top w:val="single" w:color="auto" w:sz="4" w:space="0"/>
              <w:left w:val="nil"/>
              <w:bottom w:val="single" w:color="auto" w:sz="4" w:space="0"/>
              <w:right w:val="nil"/>
            </w:tcBorders>
            <w:shd w:val="clear" w:color="000000" w:fill="D9D9D9"/>
            <w:noWrap/>
            <w:vAlign w:val="center"/>
            <w:hideMark/>
          </w:tcPr>
          <w:p w:rsidRPr="002671BE" w:rsidR="005D711A" w:rsidP="0018277D" w:rsidRDefault="0018277D">
            <w:pPr>
              <w:jc w:val="right"/>
              <w:rPr>
                <w:rFonts w:ascii="Verdana" w:hAnsi="Verdana"/>
                <w:szCs w:val="18"/>
              </w:rPr>
            </w:pPr>
            <w:r>
              <w:rPr>
                <w:rFonts w:ascii="Verdana" w:hAnsi="Verdana"/>
                <w:szCs w:val="18"/>
              </w:rPr>
              <w:t>7</w:t>
            </w:r>
            <w:r w:rsidRPr="002671BE" w:rsidR="005D711A">
              <w:rPr>
                <w:rFonts w:ascii="Verdana" w:hAnsi="Verdana"/>
                <w:szCs w:val="18"/>
              </w:rPr>
              <w:t>,3</w:t>
            </w:r>
            <w:r>
              <w:rPr>
                <w:rFonts w:ascii="Verdana" w:hAnsi="Verdana"/>
                <w:szCs w:val="18"/>
              </w:rPr>
              <w:t>42</w:t>
            </w:r>
            <w:r w:rsidRPr="002671BE" w:rsidR="005D711A">
              <w:rPr>
                <w:rFonts w:ascii="Verdana" w:hAnsi="Verdana"/>
                <w:szCs w:val="18"/>
              </w:rPr>
              <w:t xml:space="preserve"> </w:t>
            </w:r>
          </w:p>
        </w:tc>
        <w:tc>
          <w:tcPr>
            <w:tcW w:w="1580" w:type="dxa"/>
            <w:tcBorders>
              <w:top w:val="single" w:color="auto" w:sz="4" w:space="0"/>
              <w:left w:val="nil"/>
              <w:bottom w:val="single" w:color="auto" w:sz="4" w:space="0"/>
              <w:right w:val="single" w:color="auto" w:sz="4" w:space="0"/>
            </w:tcBorders>
            <w:shd w:val="clear" w:color="000000" w:fill="D9D9D9"/>
            <w:noWrap/>
            <w:vAlign w:val="center"/>
            <w:hideMark/>
          </w:tcPr>
          <w:p w:rsidRPr="002671BE" w:rsidR="005D711A" w:rsidP="0018277D" w:rsidRDefault="002671BE">
            <w:pPr>
              <w:jc w:val="right"/>
              <w:rPr>
                <w:rFonts w:ascii="Verdana" w:hAnsi="Verdana"/>
                <w:szCs w:val="18"/>
              </w:rPr>
            </w:pPr>
            <w:r w:rsidRPr="002671BE">
              <w:rPr>
                <w:rFonts w:ascii="Verdana" w:hAnsi="Verdana"/>
                <w:szCs w:val="18"/>
              </w:rPr>
              <w:t>(</w:t>
            </w:r>
            <w:r w:rsidR="0018277D">
              <w:rPr>
                <w:rFonts w:ascii="Verdana" w:hAnsi="Verdana"/>
                <w:szCs w:val="18"/>
              </w:rPr>
              <w:t>4</w:t>
            </w:r>
            <w:r w:rsidRPr="002671BE" w:rsidR="005D711A">
              <w:rPr>
                <w:rFonts w:ascii="Verdana" w:hAnsi="Verdana"/>
                <w:szCs w:val="18"/>
              </w:rPr>
              <w:t>,</w:t>
            </w:r>
            <w:r w:rsidR="0018277D">
              <w:rPr>
                <w:rFonts w:ascii="Verdana" w:hAnsi="Verdana"/>
                <w:szCs w:val="18"/>
              </w:rPr>
              <w:t>78</w:t>
            </w:r>
            <w:r w:rsidRPr="002671BE" w:rsidR="005D711A">
              <w:rPr>
                <w:rFonts w:ascii="Verdana" w:hAnsi="Verdana"/>
                <w:szCs w:val="18"/>
              </w:rPr>
              <w:t>3</w:t>
            </w:r>
            <w:r w:rsidRPr="002671BE">
              <w:rPr>
                <w:rFonts w:ascii="Verdana" w:hAnsi="Verdana"/>
                <w:szCs w:val="18"/>
              </w:rPr>
              <w:t>)</w:t>
            </w:r>
            <w:r w:rsidRPr="002671BE" w:rsidR="005D711A">
              <w:rPr>
                <w:rFonts w:ascii="Verdana" w:hAnsi="Verdana"/>
                <w:szCs w:val="18"/>
              </w:rPr>
              <w:t xml:space="preserve"> </w:t>
            </w:r>
          </w:p>
        </w:tc>
      </w:tr>
      <w:tr w:rsidRPr="002671BE" w:rsidR="005D711A" w:rsidTr="00C92621">
        <w:trPr>
          <w:trHeight w:val="225"/>
        </w:trPr>
        <w:tc>
          <w:tcPr>
            <w:tcW w:w="5277" w:type="dxa"/>
            <w:tcBorders>
              <w:top w:val="nil"/>
              <w:left w:val="single" w:color="auto" w:sz="4" w:space="0"/>
              <w:bottom w:val="nil"/>
              <w:right w:val="nil"/>
            </w:tcBorders>
            <w:shd w:val="clear" w:color="000000" w:fill="D9D9D9"/>
            <w:noWrap/>
            <w:hideMark/>
          </w:tcPr>
          <w:p w:rsidRPr="002671BE" w:rsidR="005D711A" w:rsidP="00FA64BE" w:rsidRDefault="005D711A">
            <w:pPr>
              <w:overflowPunct/>
              <w:autoSpaceDE/>
              <w:autoSpaceDN/>
              <w:adjustRightInd/>
              <w:jc w:val="left"/>
              <w:textAlignment w:val="auto"/>
              <w:rPr>
                <w:rFonts w:ascii="Verdana" w:hAnsi="Verdana" w:cs="Calibri"/>
                <w:szCs w:val="18"/>
                <w:lang w:eastAsia="en-GB"/>
              </w:rPr>
            </w:pPr>
            <w:r w:rsidRPr="002671BE">
              <w:rPr>
                <w:rFonts w:ascii="Verdana" w:hAnsi="Verdana" w:cs="Calibri"/>
                <w:szCs w:val="18"/>
                <w:lang w:eastAsia="en-GB"/>
              </w:rPr>
              <w:t>Cashflows</w:t>
            </w:r>
          </w:p>
        </w:tc>
        <w:tc>
          <w:tcPr>
            <w:tcW w:w="1135" w:type="dxa"/>
            <w:tcBorders>
              <w:top w:val="nil"/>
              <w:left w:val="nil"/>
              <w:bottom w:val="nil"/>
              <w:right w:val="nil"/>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w:t>
            </w:r>
          </w:p>
        </w:tc>
        <w:tc>
          <w:tcPr>
            <w:tcW w:w="1234" w:type="dxa"/>
            <w:tcBorders>
              <w:top w:val="nil"/>
              <w:left w:val="nil"/>
              <w:bottom w:val="nil"/>
              <w:right w:val="nil"/>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w:t>
            </w:r>
          </w:p>
        </w:tc>
        <w:tc>
          <w:tcPr>
            <w:tcW w:w="1580" w:type="dxa"/>
            <w:tcBorders>
              <w:top w:val="nil"/>
              <w:left w:val="nil"/>
              <w:bottom w:val="nil"/>
              <w:right w:val="single" w:color="auto" w:sz="4" w:space="0"/>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w:t>
            </w:r>
          </w:p>
        </w:tc>
      </w:tr>
      <w:tr w:rsidRPr="002671BE" w:rsidR="005D711A" w:rsidTr="00C92621">
        <w:trPr>
          <w:trHeight w:val="225"/>
        </w:trPr>
        <w:tc>
          <w:tcPr>
            <w:tcW w:w="5277" w:type="dxa"/>
            <w:tcBorders>
              <w:top w:val="nil"/>
              <w:left w:val="single" w:color="auto" w:sz="4" w:space="0"/>
              <w:bottom w:val="nil"/>
              <w:right w:val="nil"/>
            </w:tcBorders>
            <w:shd w:val="clear" w:color="000000" w:fill="D9D9D9"/>
            <w:noWrap/>
            <w:hideMark/>
          </w:tcPr>
          <w:p w:rsidRPr="002671BE" w:rsidR="005D711A" w:rsidP="00FA64BE" w:rsidRDefault="005D711A">
            <w:pPr>
              <w:overflowPunct/>
              <w:autoSpaceDE/>
              <w:autoSpaceDN/>
              <w:adjustRightInd/>
              <w:ind w:firstLine="180" w:firstLineChars="100"/>
              <w:jc w:val="left"/>
              <w:textAlignment w:val="auto"/>
              <w:rPr>
                <w:rFonts w:ascii="Verdana" w:hAnsi="Verdana" w:cs="Calibri"/>
                <w:szCs w:val="18"/>
                <w:lang w:eastAsia="en-GB"/>
              </w:rPr>
            </w:pPr>
            <w:r w:rsidRPr="002671BE">
              <w:rPr>
                <w:rFonts w:ascii="Verdana" w:hAnsi="Verdana" w:cs="Calibri"/>
                <w:szCs w:val="18"/>
                <w:lang w:eastAsia="en-GB"/>
              </w:rPr>
              <w:t>Plan participants' contributions</w:t>
            </w:r>
          </w:p>
        </w:tc>
        <w:tc>
          <w:tcPr>
            <w:tcW w:w="1135" w:type="dxa"/>
            <w:tcBorders>
              <w:top w:val="nil"/>
              <w:left w:val="nil"/>
              <w:bottom w:val="nil"/>
              <w:right w:val="nil"/>
            </w:tcBorders>
            <w:shd w:val="clear" w:color="000000" w:fill="D9D9D9"/>
            <w:noWrap/>
            <w:vAlign w:val="center"/>
            <w:hideMark/>
          </w:tcPr>
          <w:p w:rsidRPr="002671BE" w:rsidR="005D711A" w:rsidP="0018277D" w:rsidRDefault="005D711A">
            <w:pPr>
              <w:jc w:val="right"/>
              <w:rPr>
                <w:rFonts w:ascii="Verdana" w:hAnsi="Verdana"/>
                <w:szCs w:val="18"/>
              </w:rPr>
            </w:pPr>
            <w:r w:rsidRPr="002671BE">
              <w:rPr>
                <w:rFonts w:ascii="Verdana" w:hAnsi="Verdana"/>
                <w:szCs w:val="18"/>
              </w:rPr>
              <w:t>77</w:t>
            </w:r>
            <w:r w:rsidR="0018277D">
              <w:rPr>
                <w:rFonts w:ascii="Verdana" w:hAnsi="Verdana"/>
                <w:szCs w:val="18"/>
              </w:rPr>
              <w:t>7</w:t>
            </w:r>
            <w:r w:rsidRPr="002671BE">
              <w:rPr>
                <w:rFonts w:ascii="Verdana" w:hAnsi="Verdana"/>
                <w:szCs w:val="18"/>
              </w:rPr>
              <w:t xml:space="preserve"> </w:t>
            </w:r>
          </w:p>
        </w:tc>
        <w:tc>
          <w:tcPr>
            <w:tcW w:w="1234" w:type="dxa"/>
            <w:tcBorders>
              <w:top w:val="nil"/>
              <w:left w:val="nil"/>
              <w:bottom w:val="nil"/>
              <w:right w:val="nil"/>
            </w:tcBorders>
            <w:shd w:val="clear" w:color="000000" w:fill="D9D9D9"/>
            <w:noWrap/>
            <w:vAlign w:val="center"/>
            <w:hideMark/>
          </w:tcPr>
          <w:p w:rsidRPr="002671BE" w:rsidR="005D711A" w:rsidP="0018277D" w:rsidRDefault="005D711A">
            <w:pPr>
              <w:jc w:val="right"/>
              <w:rPr>
                <w:rFonts w:ascii="Verdana" w:hAnsi="Verdana"/>
                <w:szCs w:val="18"/>
              </w:rPr>
            </w:pPr>
            <w:r w:rsidRPr="002671BE">
              <w:rPr>
                <w:rFonts w:ascii="Verdana" w:hAnsi="Verdana"/>
                <w:szCs w:val="18"/>
              </w:rPr>
              <w:t>77</w:t>
            </w:r>
            <w:r w:rsidR="0018277D">
              <w:rPr>
                <w:rFonts w:ascii="Verdana" w:hAnsi="Verdana"/>
                <w:szCs w:val="18"/>
              </w:rPr>
              <w:t>7</w:t>
            </w:r>
            <w:r w:rsidRPr="002671BE">
              <w:rPr>
                <w:rFonts w:ascii="Verdana" w:hAnsi="Verdana"/>
                <w:szCs w:val="18"/>
              </w:rPr>
              <w:t xml:space="preserve"> </w:t>
            </w:r>
          </w:p>
        </w:tc>
        <w:tc>
          <w:tcPr>
            <w:tcW w:w="1580" w:type="dxa"/>
            <w:tcBorders>
              <w:top w:val="nil"/>
              <w:left w:val="nil"/>
              <w:bottom w:val="nil"/>
              <w:right w:val="single" w:color="auto" w:sz="4" w:space="0"/>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xml:space="preserve">0 </w:t>
            </w:r>
          </w:p>
        </w:tc>
      </w:tr>
      <w:tr w:rsidRPr="002671BE" w:rsidR="005D711A" w:rsidTr="00C92621">
        <w:trPr>
          <w:trHeight w:val="225"/>
        </w:trPr>
        <w:tc>
          <w:tcPr>
            <w:tcW w:w="5277" w:type="dxa"/>
            <w:tcBorders>
              <w:top w:val="nil"/>
              <w:left w:val="single" w:color="auto" w:sz="4" w:space="0"/>
              <w:bottom w:val="nil"/>
              <w:right w:val="nil"/>
            </w:tcBorders>
            <w:shd w:val="clear" w:color="000000" w:fill="D9D9D9"/>
            <w:noWrap/>
            <w:hideMark/>
          </w:tcPr>
          <w:p w:rsidRPr="002671BE" w:rsidR="005D711A" w:rsidP="00FA64BE" w:rsidRDefault="005D711A">
            <w:pPr>
              <w:overflowPunct/>
              <w:autoSpaceDE/>
              <w:autoSpaceDN/>
              <w:adjustRightInd/>
              <w:ind w:firstLine="180" w:firstLineChars="100"/>
              <w:jc w:val="left"/>
              <w:textAlignment w:val="auto"/>
              <w:rPr>
                <w:rFonts w:ascii="Verdana" w:hAnsi="Verdana" w:cs="Calibri"/>
                <w:szCs w:val="18"/>
                <w:lang w:eastAsia="en-GB"/>
              </w:rPr>
            </w:pPr>
            <w:r w:rsidRPr="002671BE">
              <w:rPr>
                <w:rFonts w:ascii="Verdana" w:hAnsi="Verdana" w:cs="Calibri"/>
                <w:szCs w:val="18"/>
                <w:lang w:eastAsia="en-GB"/>
              </w:rPr>
              <w:t>Employer contributions</w:t>
            </w:r>
          </w:p>
        </w:tc>
        <w:tc>
          <w:tcPr>
            <w:tcW w:w="1135" w:type="dxa"/>
            <w:tcBorders>
              <w:top w:val="nil"/>
              <w:left w:val="nil"/>
              <w:bottom w:val="nil"/>
              <w:right w:val="nil"/>
            </w:tcBorders>
            <w:shd w:val="clear" w:color="000000" w:fill="D9D9D9"/>
            <w:noWrap/>
            <w:vAlign w:val="center"/>
            <w:hideMark/>
          </w:tcPr>
          <w:p w:rsidRPr="002671BE" w:rsidR="005D711A" w:rsidP="0018277D" w:rsidRDefault="005D711A">
            <w:pPr>
              <w:jc w:val="right"/>
              <w:rPr>
                <w:rFonts w:ascii="Verdana" w:hAnsi="Verdana"/>
                <w:szCs w:val="18"/>
              </w:rPr>
            </w:pPr>
            <w:r w:rsidRPr="002671BE">
              <w:rPr>
                <w:rFonts w:ascii="Verdana" w:hAnsi="Verdana"/>
                <w:szCs w:val="18"/>
              </w:rPr>
              <w:t>2,58</w:t>
            </w:r>
            <w:r w:rsidR="0018277D">
              <w:rPr>
                <w:rFonts w:ascii="Verdana" w:hAnsi="Verdana"/>
                <w:szCs w:val="18"/>
              </w:rPr>
              <w:t>7</w:t>
            </w:r>
            <w:r w:rsidRPr="002671BE">
              <w:rPr>
                <w:rFonts w:ascii="Verdana" w:hAnsi="Verdana"/>
                <w:szCs w:val="18"/>
              </w:rPr>
              <w:t xml:space="preserve"> </w:t>
            </w:r>
          </w:p>
        </w:tc>
        <w:tc>
          <w:tcPr>
            <w:tcW w:w="1234" w:type="dxa"/>
            <w:tcBorders>
              <w:top w:val="nil"/>
              <w:left w:val="nil"/>
              <w:bottom w:val="nil"/>
              <w:right w:val="nil"/>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w:t>
            </w:r>
          </w:p>
        </w:tc>
        <w:tc>
          <w:tcPr>
            <w:tcW w:w="1580" w:type="dxa"/>
            <w:tcBorders>
              <w:top w:val="nil"/>
              <w:left w:val="nil"/>
              <w:bottom w:val="nil"/>
              <w:right w:val="single" w:color="auto" w:sz="4" w:space="0"/>
            </w:tcBorders>
            <w:shd w:val="clear" w:color="000000" w:fill="D9D9D9"/>
            <w:noWrap/>
            <w:vAlign w:val="center"/>
            <w:hideMark/>
          </w:tcPr>
          <w:p w:rsidRPr="002671BE" w:rsidR="005D711A" w:rsidP="0018277D" w:rsidRDefault="005D711A">
            <w:pPr>
              <w:jc w:val="right"/>
              <w:rPr>
                <w:rFonts w:ascii="Verdana" w:hAnsi="Verdana"/>
                <w:szCs w:val="18"/>
              </w:rPr>
            </w:pPr>
            <w:r w:rsidRPr="002671BE">
              <w:rPr>
                <w:rFonts w:ascii="Verdana" w:hAnsi="Verdana"/>
                <w:szCs w:val="18"/>
              </w:rPr>
              <w:t>2,58</w:t>
            </w:r>
            <w:r w:rsidR="0018277D">
              <w:rPr>
                <w:rFonts w:ascii="Verdana" w:hAnsi="Verdana"/>
                <w:szCs w:val="18"/>
              </w:rPr>
              <w:t>7</w:t>
            </w:r>
            <w:r w:rsidRPr="002671BE">
              <w:rPr>
                <w:rFonts w:ascii="Verdana" w:hAnsi="Verdana"/>
                <w:szCs w:val="18"/>
              </w:rPr>
              <w:t xml:space="preserve"> </w:t>
            </w:r>
          </w:p>
        </w:tc>
      </w:tr>
      <w:tr w:rsidRPr="002671BE" w:rsidR="005D711A" w:rsidTr="00C92621">
        <w:trPr>
          <w:trHeight w:val="225"/>
        </w:trPr>
        <w:tc>
          <w:tcPr>
            <w:tcW w:w="5277" w:type="dxa"/>
            <w:tcBorders>
              <w:top w:val="nil"/>
              <w:left w:val="single" w:color="auto" w:sz="4" w:space="0"/>
              <w:bottom w:val="nil"/>
              <w:right w:val="nil"/>
            </w:tcBorders>
            <w:shd w:val="clear" w:color="000000" w:fill="D9D9D9"/>
            <w:noWrap/>
            <w:hideMark/>
          </w:tcPr>
          <w:p w:rsidRPr="002671BE" w:rsidR="005D711A" w:rsidP="00FA64BE" w:rsidRDefault="005D711A">
            <w:pPr>
              <w:overflowPunct/>
              <w:autoSpaceDE/>
              <w:autoSpaceDN/>
              <w:adjustRightInd/>
              <w:ind w:firstLine="180" w:firstLineChars="100"/>
              <w:jc w:val="left"/>
              <w:textAlignment w:val="auto"/>
              <w:rPr>
                <w:rFonts w:ascii="Verdana" w:hAnsi="Verdana" w:cs="Calibri"/>
                <w:szCs w:val="18"/>
                <w:lang w:eastAsia="en-GB"/>
              </w:rPr>
            </w:pPr>
            <w:r w:rsidRPr="002671BE">
              <w:rPr>
                <w:rFonts w:ascii="Verdana" w:hAnsi="Verdana" w:cs="Calibri"/>
                <w:szCs w:val="18"/>
                <w:lang w:eastAsia="en-GB"/>
              </w:rPr>
              <w:t>Contributions in respect of unfunded benefits</w:t>
            </w:r>
          </w:p>
        </w:tc>
        <w:tc>
          <w:tcPr>
            <w:tcW w:w="1135" w:type="dxa"/>
            <w:tcBorders>
              <w:top w:val="nil"/>
              <w:left w:val="nil"/>
              <w:bottom w:val="nil"/>
              <w:right w:val="nil"/>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xml:space="preserve">0 </w:t>
            </w:r>
          </w:p>
        </w:tc>
        <w:tc>
          <w:tcPr>
            <w:tcW w:w="1234" w:type="dxa"/>
            <w:tcBorders>
              <w:top w:val="nil"/>
              <w:left w:val="nil"/>
              <w:bottom w:val="nil"/>
              <w:right w:val="nil"/>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w:t>
            </w:r>
          </w:p>
        </w:tc>
        <w:tc>
          <w:tcPr>
            <w:tcW w:w="1580" w:type="dxa"/>
            <w:tcBorders>
              <w:top w:val="nil"/>
              <w:left w:val="nil"/>
              <w:bottom w:val="nil"/>
              <w:right w:val="single" w:color="auto" w:sz="4" w:space="0"/>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xml:space="preserve">0 </w:t>
            </w:r>
          </w:p>
        </w:tc>
      </w:tr>
      <w:tr w:rsidRPr="002671BE" w:rsidR="005D711A" w:rsidTr="00C92621">
        <w:trPr>
          <w:trHeight w:val="225"/>
        </w:trPr>
        <w:tc>
          <w:tcPr>
            <w:tcW w:w="5277" w:type="dxa"/>
            <w:tcBorders>
              <w:top w:val="nil"/>
              <w:left w:val="single" w:color="auto" w:sz="4" w:space="0"/>
              <w:bottom w:val="nil"/>
              <w:right w:val="nil"/>
            </w:tcBorders>
            <w:shd w:val="clear" w:color="000000" w:fill="D9D9D9"/>
            <w:noWrap/>
            <w:hideMark/>
          </w:tcPr>
          <w:p w:rsidRPr="002671BE" w:rsidR="005D711A" w:rsidP="00FA64BE" w:rsidRDefault="005D711A">
            <w:pPr>
              <w:overflowPunct/>
              <w:autoSpaceDE/>
              <w:autoSpaceDN/>
              <w:adjustRightInd/>
              <w:ind w:firstLine="180" w:firstLineChars="100"/>
              <w:jc w:val="left"/>
              <w:textAlignment w:val="auto"/>
              <w:rPr>
                <w:rFonts w:ascii="Verdana" w:hAnsi="Verdana" w:cs="Calibri"/>
                <w:szCs w:val="18"/>
                <w:lang w:eastAsia="en-GB"/>
              </w:rPr>
            </w:pPr>
            <w:r w:rsidRPr="002671BE">
              <w:rPr>
                <w:rFonts w:ascii="Verdana" w:hAnsi="Verdana" w:cs="Calibri"/>
                <w:szCs w:val="18"/>
                <w:lang w:eastAsia="en-GB"/>
              </w:rPr>
              <w:t>Benefits paid</w:t>
            </w:r>
          </w:p>
        </w:tc>
        <w:tc>
          <w:tcPr>
            <w:tcW w:w="1135" w:type="dxa"/>
            <w:tcBorders>
              <w:top w:val="nil"/>
              <w:left w:val="nil"/>
              <w:bottom w:val="nil"/>
              <w:right w:val="nil"/>
            </w:tcBorders>
            <w:shd w:val="clear" w:color="000000" w:fill="D9D9D9"/>
            <w:noWrap/>
            <w:vAlign w:val="center"/>
            <w:hideMark/>
          </w:tcPr>
          <w:p w:rsidRPr="002671BE" w:rsidR="005D711A" w:rsidP="0018277D" w:rsidRDefault="002671BE">
            <w:pPr>
              <w:jc w:val="right"/>
              <w:rPr>
                <w:rFonts w:ascii="Verdana" w:hAnsi="Verdana"/>
                <w:szCs w:val="18"/>
              </w:rPr>
            </w:pPr>
            <w:r w:rsidRPr="002671BE">
              <w:rPr>
                <w:rFonts w:ascii="Verdana" w:hAnsi="Verdana"/>
                <w:szCs w:val="18"/>
              </w:rPr>
              <w:t>(</w:t>
            </w:r>
            <w:r w:rsidRPr="002671BE" w:rsidR="005D711A">
              <w:rPr>
                <w:rFonts w:ascii="Verdana" w:hAnsi="Verdana"/>
                <w:szCs w:val="18"/>
              </w:rPr>
              <w:t>1,</w:t>
            </w:r>
            <w:r w:rsidR="0018277D">
              <w:rPr>
                <w:rFonts w:ascii="Verdana" w:hAnsi="Verdana"/>
                <w:szCs w:val="18"/>
              </w:rPr>
              <w:t>277</w:t>
            </w:r>
            <w:r w:rsidRPr="002671BE">
              <w:rPr>
                <w:rFonts w:ascii="Verdana" w:hAnsi="Verdana"/>
                <w:szCs w:val="18"/>
              </w:rPr>
              <w:t>)</w:t>
            </w:r>
            <w:r w:rsidRPr="002671BE" w:rsidR="005D711A">
              <w:rPr>
                <w:rFonts w:ascii="Verdana" w:hAnsi="Verdana"/>
                <w:szCs w:val="18"/>
              </w:rPr>
              <w:t xml:space="preserve"> </w:t>
            </w:r>
          </w:p>
        </w:tc>
        <w:tc>
          <w:tcPr>
            <w:tcW w:w="1234" w:type="dxa"/>
            <w:tcBorders>
              <w:top w:val="nil"/>
              <w:left w:val="nil"/>
              <w:bottom w:val="nil"/>
              <w:right w:val="nil"/>
            </w:tcBorders>
            <w:shd w:val="clear" w:color="000000" w:fill="D9D9D9"/>
            <w:noWrap/>
            <w:vAlign w:val="center"/>
            <w:hideMark/>
          </w:tcPr>
          <w:p w:rsidRPr="002671BE" w:rsidR="005D711A" w:rsidP="0018277D" w:rsidRDefault="002671BE">
            <w:pPr>
              <w:jc w:val="right"/>
              <w:rPr>
                <w:rFonts w:ascii="Verdana" w:hAnsi="Verdana"/>
                <w:szCs w:val="18"/>
              </w:rPr>
            </w:pPr>
            <w:r w:rsidRPr="002671BE">
              <w:rPr>
                <w:rFonts w:ascii="Verdana" w:hAnsi="Verdana"/>
                <w:szCs w:val="18"/>
              </w:rPr>
              <w:t>(</w:t>
            </w:r>
            <w:r w:rsidRPr="002671BE" w:rsidR="005D711A">
              <w:rPr>
                <w:rFonts w:ascii="Verdana" w:hAnsi="Verdana"/>
                <w:szCs w:val="18"/>
              </w:rPr>
              <w:t>1,</w:t>
            </w:r>
            <w:r w:rsidR="0018277D">
              <w:rPr>
                <w:rFonts w:ascii="Verdana" w:hAnsi="Verdana"/>
                <w:szCs w:val="18"/>
              </w:rPr>
              <w:t>277</w:t>
            </w:r>
            <w:r w:rsidRPr="002671BE">
              <w:rPr>
                <w:rFonts w:ascii="Verdana" w:hAnsi="Verdana"/>
                <w:szCs w:val="18"/>
              </w:rPr>
              <w:t>)</w:t>
            </w:r>
            <w:r w:rsidRPr="002671BE" w:rsidR="005D711A">
              <w:rPr>
                <w:rFonts w:ascii="Verdana" w:hAnsi="Verdana"/>
                <w:szCs w:val="18"/>
              </w:rPr>
              <w:t xml:space="preserve"> </w:t>
            </w:r>
          </w:p>
        </w:tc>
        <w:tc>
          <w:tcPr>
            <w:tcW w:w="1580" w:type="dxa"/>
            <w:tcBorders>
              <w:top w:val="nil"/>
              <w:left w:val="nil"/>
              <w:bottom w:val="nil"/>
              <w:right w:val="single" w:color="auto" w:sz="4" w:space="0"/>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xml:space="preserve">0 </w:t>
            </w:r>
          </w:p>
        </w:tc>
      </w:tr>
      <w:tr w:rsidRPr="002671BE" w:rsidR="005D711A" w:rsidTr="00C92621">
        <w:trPr>
          <w:trHeight w:val="225"/>
        </w:trPr>
        <w:tc>
          <w:tcPr>
            <w:tcW w:w="5277" w:type="dxa"/>
            <w:tcBorders>
              <w:top w:val="nil"/>
              <w:left w:val="single" w:color="auto" w:sz="4" w:space="0"/>
              <w:bottom w:val="nil"/>
              <w:right w:val="nil"/>
            </w:tcBorders>
            <w:shd w:val="clear" w:color="000000" w:fill="D9D9D9"/>
            <w:noWrap/>
            <w:hideMark/>
          </w:tcPr>
          <w:p w:rsidRPr="002671BE" w:rsidR="005D711A" w:rsidP="00FA64BE" w:rsidRDefault="005D711A">
            <w:pPr>
              <w:overflowPunct/>
              <w:autoSpaceDE/>
              <w:autoSpaceDN/>
              <w:adjustRightInd/>
              <w:ind w:firstLine="180" w:firstLineChars="100"/>
              <w:jc w:val="left"/>
              <w:textAlignment w:val="auto"/>
              <w:rPr>
                <w:rFonts w:ascii="Verdana" w:hAnsi="Verdana" w:cs="Calibri"/>
                <w:szCs w:val="18"/>
                <w:lang w:eastAsia="en-GB"/>
              </w:rPr>
            </w:pPr>
            <w:r w:rsidRPr="002671BE">
              <w:rPr>
                <w:rFonts w:ascii="Verdana" w:hAnsi="Verdana" w:cs="Calibri"/>
                <w:szCs w:val="18"/>
                <w:lang w:eastAsia="en-GB"/>
              </w:rPr>
              <w:t>Unfunded benefits paid</w:t>
            </w:r>
          </w:p>
        </w:tc>
        <w:tc>
          <w:tcPr>
            <w:tcW w:w="1135" w:type="dxa"/>
            <w:tcBorders>
              <w:top w:val="nil"/>
              <w:left w:val="nil"/>
              <w:bottom w:val="nil"/>
              <w:right w:val="nil"/>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xml:space="preserve">0 </w:t>
            </w:r>
          </w:p>
        </w:tc>
        <w:tc>
          <w:tcPr>
            <w:tcW w:w="1234" w:type="dxa"/>
            <w:tcBorders>
              <w:top w:val="nil"/>
              <w:left w:val="nil"/>
              <w:bottom w:val="nil"/>
              <w:right w:val="nil"/>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xml:space="preserve">0 </w:t>
            </w:r>
          </w:p>
        </w:tc>
        <w:tc>
          <w:tcPr>
            <w:tcW w:w="1580" w:type="dxa"/>
            <w:tcBorders>
              <w:top w:val="nil"/>
              <w:left w:val="nil"/>
              <w:bottom w:val="nil"/>
              <w:right w:val="single" w:color="auto" w:sz="4" w:space="0"/>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xml:space="preserve">0 </w:t>
            </w:r>
          </w:p>
        </w:tc>
      </w:tr>
      <w:tr w:rsidRPr="002671BE" w:rsidR="005D711A" w:rsidTr="00C92621">
        <w:trPr>
          <w:trHeight w:val="225"/>
        </w:trPr>
        <w:tc>
          <w:tcPr>
            <w:tcW w:w="5277" w:type="dxa"/>
            <w:tcBorders>
              <w:top w:val="nil"/>
              <w:left w:val="single" w:color="auto" w:sz="4" w:space="0"/>
              <w:bottom w:val="nil"/>
              <w:right w:val="nil"/>
            </w:tcBorders>
            <w:shd w:val="clear" w:color="000000" w:fill="D9D9D9"/>
            <w:noWrap/>
            <w:hideMark/>
          </w:tcPr>
          <w:p w:rsidRPr="002671BE" w:rsidR="005D711A" w:rsidP="00FA64BE" w:rsidRDefault="005D711A">
            <w:pPr>
              <w:overflowPunct/>
              <w:autoSpaceDE/>
              <w:autoSpaceDN/>
              <w:adjustRightInd/>
              <w:ind w:firstLine="180" w:firstLineChars="100"/>
              <w:jc w:val="left"/>
              <w:textAlignment w:val="auto"/>
              <w:rPr>
                <w:rFonts w:ascii="Verdana" w:hAnsi="Verdana" w:cs="Calibri"/>
                <w:szCs w:val="18"/>
                <w:lang w:eastAsia="en-GB"/>
              </w:rPr>
            </w:pPr>
            <w:r w:rsidRPr="002671BE">
              <w:rPr>
                <w:rFonts w:ascii="Verdana" w:hAnsi="Verdana" w:cs="Calibri"/>
                <w:szCs w:val="18"/>
                <w:lang w:eastAsia="en-GB"/>
              </w:rPr>
              <w:t>Effect of business combinations and disposals</w:t>
            </w:r>
          </w:p>
        </w:tc>
        <w:tc>
          <w:tcPr>
            <w:tcW w:w="1135" w:type="dxa"/>
            <w:tcBorders>
              <w:top w:val="nil"/>
              <w:left w:val="nil"/>
              <w:bottom w:val="nil"/>
              <w:right w:val="nil"/>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xml:space="preserve">0 </w:t>
            </w:r>
          </w:p>
        </w:tc>
        <w:tc>
          <w:tcPr>
            <w:tcW w:w="1234" w:type="dxa"/>
            <w:tcBorders>
              <w:top w:val="nil"/>
              <w:left w:val="nil"/>
              <w:bottom w:val="nil"/>
              <w:right w:val="nil"/>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xml:space="preserve">0 </w:t>
            </w:r>
          </w:p>
        </w:tc>
        <w:tc>
          <w:tcPr>
            <w:tcW w:w="1580" w:type="dxa"/>
            <w:tcBorders>
              <w:top w:val="nil"/>
              <w:left w:val="nil"/>
              <w:bottom w:val="nil"/>
              <w:right w:val="single" w:color="auto" w:sz="4" w:space="0"/>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xml:space="preserve">0 </w:t>
            </w:r>
          </w:p>
        </w:tc>
      </w:tr>
      <w:tr w:rsidRPr="002671BE" w:rsidR="005D711A" w:rsidTr="00C92621">
        <w:trPr>
          <w:trHeight w:val="225"/>
        </w:trPr>
        <w:tc>
          <w:tcPr>
            <w:tcW w:w="5277" w:type="dxa"/>
            <w:tcBorders>
              <w:top w:val="single" w:color="auto" w:sz="4" w:space="0"/>
              <w:left w:val="single" w:color="auto" w:sz="4" w:space="0"/>
              <w:bottom w:val="single" w:color="auto" w:sz="4" w:space="0"/>
              <w:right w:val="nil"/>
            </w:tcBorders>
            <w:shd w:val="clear" w:color="000000" w:fill="D9D9D9"/>
            <w:noWrap/>
            <w:vAlign w:val="bottom"/>
            <w:hideMark/>
          </w:tcPr>
          <w:p w:rsidRPr="002671BE" w:rsidR="005D711A" w:rsidP="00FA64BE" w:rsidRDefault="005D711A">
            <w:pPr>
              <w:overflowPunct/>
              <w:autoSpaceDE/>
              <w:autoSpaceDN/>
              <w:adjustRightInd/>
              <w:jc w:val="left"/>
              <w:textAlignment w:val="auto"/>
              <w:rPr>
                <w:rFonts w:ascii="Verdana" w:hAnsi="Verdana" w:cs="Calibri"/>
                <w:szCs w:val="18"/>
                <w:lang w:eastAsia="en-GB"/>
              </w:rPr>
            </w:pPr>
            <w:r w:rsidRPr="002671BE">
              <w:rPr>
                <w:rFonts w:ascii="Verdana" w:hAnsi="Verdana" w:cs="Calibri"/>
                <w:szCs w:val="18"/>
                <w:lang w:eastAsia="en-GB"/>
              </w:rPr>
              <w:t>Expected closing position</w:t>
            </w:r>
          </w:p>
        </w:tc>
        <w:tc>
          <w:tcPr>
            <w:tcW w:w="1135" w:type="dxa"/>
            <w:tcBorders>
              <w:top w:val="single" w:color="auto" w:sz="4" w:space="0"/>
              <w:left w:val="nil"/>
              <w:bottom w:val="single" w:color="auto" w:sz="4" w:space="0"/>
              <w:right w:val="nil"/>
            </w:tcBorders>
            <w:shd w:val="clear" w:color="000000" w:fill="D9D9D9"/>
            <w:noWrap/>
            <w:vAlign w:val="center"/>
            <w:hideMark/>
          </w:tcPr>
          <w:p w:rsidRPr="002671BE" w:rsidR="005D711A" w:rsidP="0018277D" w:rsidRDefault="0018277D">
            <w:pPr>
              <w:jc w:val="right"/>
              <w:rPr>
                <w:rFonts w:ascii="Verdana" w:hAnsi="Verdana"/>
                <w:szCs w:val="18"/>
              </w:rPr>
            </w:pPr>
            <w:r>
              <w:rPr>
                <w:rFonts w:ascii="Verdana" w:hAnsi="Verdana"/>
                <w:szCs w:val="18"/>
              </w:rPr>
              <w:t>102</w:t>
            </w:r>
            <w:r w:rsidRPr="002671BE" w:rsidR="005D711A">
              <w:rPr>
                <w:rFonts w:ascii="Verdana" w:hAnsi="Verdana"/>
                <w:szCs w:val="18"/>
              </w:rPr>
              <w:t>,</w:t>
            </w:r>
            <w:r>
              <w:rPr>
                <w:rFonts w:ascii="Verdana" w:hAnsi="Verdana"/>
                <w:szCs w:val="18"/>
              </w:rPr>
              <w:t>11</w:t>
            </w:r>
            <w:r w:rsidRPr="002671BE" w:rsidR="005D711A">
              <w:rPr>
                <w:rFonts w:ascii="Verdana" w:hAnsi="Verdana"/>
                <w:szCs w:val="18"/>
              </w:rPr>
              <w:t xml:space="preserve">2 </w:t>
            </w:r>
          </w:p>
        </w:tc>
        <w:tc>
          <w:tcPr>
            <w:tcW w:w="1234" w:type="dxa"/>
            <w:tcBorders>
              <w:top w:val="single" w:color="auto" w:sz="4" w:space="0"/>
              <w:left w:val="nil"/>
              <w:bottom w:val="single" w:color="auto" w:sz="4" w:space="0"/>
              <w:right w:val="nil"/>
            </w:tcBorders>
            <w:shd w:val="clear" w:color="000000" w:fill="D9D9D9"/>
            <w:noWrap/>
            <w:vAlign w:val="center"/>
            <w:hideMark/>
          </w:tcPr>
          <w:p w:rsidRPr="002671BE" w:rsidR="005D711A" w:rsidP="0018277D" w:rsidRDefault="0018277D">
            <w:pPr>
              <w:jc w:val="right"/>
              <w:rPr>
                <w:rFonts w:ascii="Verdana" w:hAnsi="Verdana"/>
                <w:szCs w:val="18"/>
              </w:rPr>
            </w:pPr>
            <w:r>
              <w:rPr>
                <w:rFonts w:ascii="Verdana" w:hAnsi="Verdana"/>
                <w:szCs w:val="18"/>
              </w:rPr>
              <w:t>105</w:t>
            </w:r>
            <w:r w:rsidRPr="002671BE" w:rsidR="005D711A">
              <w:rPr>
                <w:rFonts w:ascii="Verdana" w:hAnsi="Verdana"/>
                <w:szCs w:val="18"/>
              </w:rPr>
              <w:t>,</w:t>
            </w:r>
            <w:r>
              <w:rPr>
                <w:rFonts w:ascii="Verdana" w:hAnsi="Verdana"/>
                <w:szCs w:val="18"/>
              </w:rPr>
              <w:t>042</w:t>
            </w:r>
            <w:r w:rsidRPr="002671BE" w:rsidR="005D711A">
              <w:rPr>
                <w:rFonts w:ascii="Verdana" w:hAnsi="Verdana"/>
                <w:szCs w:val="18"/>
              </w:rPr>
              <w:t xml:space="preserve"> </w:t>
            </w:r>
          </w:p>
        </w:tc>
        <w:tc>
          <w:tcPr>
            <w:tcW w:w="1580" w:type="dxa"/>
            <w:tcBorders>
              <w:top w:val="single" w:color="auto" w:sz="4" w:space="0"/>
              <w:left w:val="nil"/>
              <w:bottom w:val="single" w:color="auto" w:sz="4" w:space="0"/>
              <w:right w:val="single" w:color="auto" w:sz="4" w:space="0"/>
            </w:tcBorders>
            <w:shd w:val="clear" w:color="000000" w:fill="D9D9D9"/>
            <w:noWrap/>
            <w:vAlign w:val="center"/>
            <w:hideMark/>
          </w:tcPr>
          <w:p w:rsidRPr="002671BE" w:rsidR="005D711A" w:rsidP="0018277D" w:rsidRDefault="002671BE">
            <w:pPr>
              <w:jc w:val="right"/>
              <w:rPr>
                <w:rFonts w:ascii="Verdana" w:hAnsi="Verdana"/>
                <w:szCs w:val="18"/>
              </w:rPr>
            </w:pPr>
            <w:r w:rsidRPr="002671BE">
              <w:rPr>
                <w:rFonts w:ascii="Verdana" w:hAnsi="Verdana"/>
                <w:szCs w:val="18"/>
              </w:rPr>
              <w:t>(</w:t>
            </w:r>
            <w:r w:rsidR="0018277D">
              <w:rPr>
                <w:rFonts w:ascii="Verdana" w:hAnsi="Verdana"/>
                <w:szCs w:val="18"/>
              </w:rPr>
              <w:t>2,930</w:t>
            </w:r>
            <w:r w:rsidRPr="002671BE">
              <w:rPr>
                <w:rFonts w:ascii="Verdana" w:hAnsi="Verdana"/>
                <w:szCs w:val="18"/>
              </w:rPr>
              <w:t>)</w:t>
            </w:r>
            <w:r w:rsidRPr="002671BE" w:rsidR="005D711A">
              <w:rPr>
                <w:rFonts w:ascii="Verdana" w:hAnsi="Verdana"/>
                <w:szCs w:val="18"/>
              </w:rPr>
              <w:t xml:space="preserve"> </w:t>
            </w:r>
          </w:p>
        </w:tc>
      </w:tr>
      <w:tr w:rsidRPr="002671BE" w:rsidR="005D711A" w:rsidTr="00C92621">
        <w:trPr>
          <w:trHeight w:val="225"/>
        </w:trPr>
        <w:tc>
          <w:tcPr>
            <w:tcW w:w="5277" w:type="dxa"/>
            <w:tcBorders>
              <w:top w:val="nil"/>
              <w:left w:val="single" w:color="auto" w:sz="4" w:space="0"/>
              <w:bottom w:val="nil"/>
              <w:right w:val="nil"/>
            </w:tcBorders>
            <w:shd w:val="clear" w:color="000000" w:fill="D9D9D9"/>
            <w:noWrap/>
            <w:vAlign w:val="bottom"/>
            <w:hideMark/>
          </w:tcPr>
          <w:p w:rsidRPr="002671BE" w:rsidR="005D711A" w:rsidP="00FA64BE" w:rsidRDefault="005D711A">
            <w:pPr>
              <w:overflowPunct/>
              <w:autoSpaceDE/>
              <w:autoSpaceDN/>
              <w:adjustRightInd/>
              <w:jc w:val="left"/>
              <w:textAlignment w:val="auto"/>
              <w:rPr>
                <w:rFonts w:ascii="Verdana" w:hAnsi="Verdana" w:cs="Calibri"/>
                <w:szCs w:val="18"/>
                <w:lang w:eastAsia="en-GB"/>
              </w:rPr>
            </w:pPr>
            <w:r w:rsidRPr="002671BE">
              <w:rPr>
                <w:rFonts w:ascii="Verdana" w:hAnsi="Verdana" w:cs="Calibri"/>
                <w:szCs w:val="18"/>
                <w:lang w:eastAsia="en-GB"/>
              </w:rPr>
              <w:t>Remeasurements</w:t>
            </w:r>
          </w:p>
        </w:tc>
        <w:tc>
          <w:tcPr>
            <w:tcW w:w="1135" w:type="dxa"/>
            <w:tcBorders>
              <w:top w:val="nil"/>
              <w:left w:val="nil"/>
              <w:bottom w:val="nil"/>
              <w:right w:val="nil"/>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w:t>
            </w:r>
          </w:p>
        </w:tc>
        <w:tc>
          <w:tcPr>
            <w:tcW w:w="1234" w:type="dxa"/>
            <w:tcBorders>
              <w:top w:val="nil"/>
              <w:left w:val="nil"/>
              <w:bottom w:val="nil"/>
              <w:right w:val="nil"/>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w:t>
            </w:r>
          </w:p>
        </w:tc>
        <w:tc>
          <w:tcPr>
            <w:tcW w:w="1580" w:type="dxa"/>
            <w:tcBorders>
              <w:top w:val="nil"/>
              <w:left w:val="nil"/>
              <w:bottom w:val="nil"/>
              <w:right w:val="single" w:color="auto" w:sz="4" w:space="0"/>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w:t>
            </w:r>
          </w:p>
        </w:tc>
      </w:tr>
      <w:tr w:rsidRPr="002671BE" w:rsidR="005D711A" w:rsidTr="00C92621">
        <w:trPr>
          <w:trHeight w:val="225"/>
        </w:trPr>
        <w:tc>
          <w:tcPr>
            <w:tcW w:w="5277" w:type="dxa"/>
            <w:tcBorders>
              <w:top w:val="nil"/>
              <w:left w:val="single" w:color="auto" w:sz="4" w:space="0"/>
              <w:bottom w:val="nil"/>
              <w:right w:val="nil"/>
            </w:tcBorders>
            <w:shd w:val="clear" w:color="000000" w:fill="D9D9D9"/>
            <w:noWrap/>
            <w:vAlign w:val="bottom"/>
            <w:hideMark/>
          </w:tcPr>
          <w:p w:rsidRPr="002671BE" w:rsidR="005D711A" w:rsidP="00FA64BE" w:rsidRDefault="005D711A">
            <w:pPr>
              <w:overflowPunct/>
              <w:autoSpaceDE/>
              <w:autoSpaceDN/>
              <w:adjustRightInd/>
              <w:ind w:firstLine="180" w:firstLineChars="100"/>
              <w:jc w:val="left"/>
              <w:textAlignment w:val="auto"/>
              <w:rPr>
                <w:rFonts w:ascii="Verdana" w:hAnsi="Verdana" w:cs="Calibri"/>
                <w:szCs w:val="18"/>
                <w:lang w:eastAsia="en-GB"/>
              </w:rPr>
            </w:pPr>
            <w:r w:rsidRPr="002671BE">
              <w:rPr>
                <w:rFonts w:ascii="Verdana" w:hAnsi="Verdana" w:cs="Calibri"/>
                <w:szCs w:val="18"/>
                <w:lang w:eastAsia="en-GB"/>
              </w:rPr>
              <w:t>Changes in demographic assumptions</w:t>
            </w:r>
          </w:p>
        </w:tc>
        <w:tc>
          <w:tcPr>
            <w:tcW w:w="1135" w:type="dxa"/>
            <w:tcBorders>
              <w:top w:val="nil"/>
              <w:left w:val="nil"/>
              <w:bottom w:val="nil"/>
              <w:right w:val="nil"/>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w:t>
            </w:r>
          </w:p>
        </w:tc>
        <w:tc>
          <w:tcPr>
            <w:tcW w:w="1234" w:type="dxa"/>
            <w:tcBorders>
              <w:top w:val="nil"/>
              <w:left w:val="nil"/>
              <w:bottom w:val="nil"/>
              <w:right w:val="nil"/>
            </w:tcBorders>
            <w:shd w:val="clear" w:color="000000" w:fill="D9D9D9"/>
            <w:noWrap/>
            <w:vAlign w:val="center"/>
            <w:hideMark/>
          </w:tcPr>
          <w:p w:rsidRPr="002671BE" w:rsidR="005D711A" w:rsidRDefault="0018277D">
            <w:pPr>
              <w:jc w:val="right"/>
              <w:rPr>
                <w:rFonts w:ascii="Verdana" w:hAnsi="Verdana"/>
                <w:szCs w:val="18"/>
              </w:rPr>
            </w:pPr>
            <w:r>
              <w:rPr>
                <w:rFonts w:ascii="Verdana" w:hAnsi="Verdana"/>
                <w:szCs w:val="18"/>
              </w:rPr>
              <w:t>0</w:t>
            </w:r>
            <w:r w:rsidRPr="002671BE" w:rsidR="005D711A">
              <w:rPr>
                <w:rFonts w:ascii="Verdana" w:hAnsi="Verdana"/>
                <w:szCs w:val="18"/>
              </w:rPr>
              <w:t xml:space="preserve"> </w:t>
            </w:r>
          </w:p>
        </w:tc>
        <w:tc>
          <w:tcPr>
            <w:tcW w:w="1580" w:type="dxa"/>
            <w:tcBorders>
              <w:top w:val="nil"/>
              <w:left w:val="nil"/>
              <w:bottom w:val="nil"/>
              <w:right w:val="single" w:color="auto" w:sz="4" w:space="0"/>
            </w:tcBorders>
            <w:shd w:val="clear" w:color="000000" w:fill="D9D9D9"/>
            <w:noWrap/>
            <w:vAlign w:val="center"/>
            <w:hideMark/>
          </w:tcPr>
          <w:p w:rsidRPr="002671BE" w:rsidR="005D711A" w:rsidRDefault="0018277D">
            <w:pPr>
              <w:jc w:val="right"/>
              <w:rPr>
                <w:rFonts w:ascii="Verdana" w:hAnsi="Verdana"/>
                <w:szCs w:val="18"/>
              </w:rPr>
            </w:pPr>
            <w:r>
              <w:rPr>
                <w:rFonts w:ascii="Verdana" w:hAnsi="Verdana"/>
                <w:szCs w:val="18"/>
              </w:rPr>
              <w:t>0</w:t>
            </w:r>
            <w:r w:rsidRPr="002671BE" w:rsidR="005D711A">
              <w:rPr>
                <w:rFonts w:ascii="Verdana" w:hAnsi="Verdana"/>
                <w:szCs w:val="18"/>
              </w:rPr>
              <w:t xml:space="preserve"> </w:t>
            </w:r>
          </w:p>
        </w:tc>
      </w:tr>
      <w:tr w:rsidRPr="002671BE" w:rsidR="005D711A" w:rsidTr="00C92621">
        <w:trPr>
          <w:trHeight w:val="225"/>
        </w:trPr>
        <w:tc>
          <w:tcPr>
            <w:tcW w:w="5277" w:type="dxa"/>
            <w:tcBorders>
              <w:top w:val="nil"/>
              <w:left w:val="single" w:color="auto" w:sz="4" w:space="0"/>
              <w:bottom w:val="nil"/>
              <w:right w:val="nil"/>
            </w:tcBorders>
            <w:shd w:val="clear" w:color="000000" w:fill="D9D9D9"/>
            <w:noWrap/>
            <w:hideMark/>
          </w:tcPr>
          <w:p w:rsidRPr="002671BE" w:rsidR="005D711A" w:rsidP="00FA64BE" w:rsidRDefault="005D711A">
            <w:pPr>
              <w:overflowPunct/>
              <w:autoSpaceDE/>
              <w:autoSpaceDN/>
              <w:adjustRightInd/>
              <w:ind w:firstLine="180" w:firstLineChars="100"/>
              <w:jc w:val="left"/>
              <w:textAlignment w:val="auto"/>
              <w:rPr>
                <w:rFonts w:ascii="Verdana" w:hAnsi="Verdana" w:cs="Calibri"/>
                <w:szCs w:val="18"/>
                <w:lang w:eastAsia="en-GB"/>
              </w:rPr>
            </w:pPr>
            <w:r w:rsidRPr="002671BE">
              <w:rPr>
                <w:rFonts w:ascii="Verdana" w:hAnsi="Verdana" w:cs="Calibri"/>
                <w:szCs w:val="18"/>
                <w:lang w:eastAsia="en-GB"/>
              </w:rPr>
              <w:t>Changes in financial assumptions</w:t>
            </w:r>
          </w:p>
        </w:tc>
        <w:tc>
          <w:tcPr>
            <w:tcW w:w="1135" w:type="dxa"/>
            <w:tcBorders>
              <w:top w:val="nil"/>
              <w:left w:val="nil"/>
              <w:bottom w:val="nil"/>
              <w:right w:val="nil"/>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w:t>
            </w:r>
          </w:p>
        </w:tc>
        <w:tc>
          <w:tcPr>
            <w:tcW w:w="1234" w:type="dxa"/>
            <w:tcBorders>
              <w:top w:val="nil"/>
              <w:left w:val="nil"/>
              <w:bottom w:val="nil"/>
              <w:right w:val="nil"/>
            </w:tcBorders>
            <w:shd w:val="clear" w:color="000000" w:fill="D9D9D9"/>
            <w:noWrap/>
            <w:vAlign w:val="center"/>
            <w:hideMark/>
          </w:tcPr>
          <w:p w:rsidRPr="002671BE" w:rsidR="005D711A" w:rsidRDefault="0018277D">
            <w:pPr>
              <w:jc w:val="right"/>
              <w:rPr>
                <w:rFonts w:ascii="Verdana" w:hAnsi="Verdana"/>
                <w:szCs w:val="18"/>
              </w:rPr>
            </w:pPr>
            <w:r>
              <w:rPr>
                <w:rFonts w:ascii="Verdana" w:hAnsi="Verdana"/>
                <w:szCs w:val="18"/>
              </w:rPr>
              <w:t>(2,226)</w:t>
            </w:r>
            <w:r w:rsidRPr="002671BE" w:rsidR="005D711A">
              <w:rPr>
                <w:rFonts w:ascii="Verdana" w:hAnsi="Verdana"/>
                <w:szCs w:val="18"/>
              </w:rPr>
              <w:t xml:space="preserve"> </w:t>
            </w:r>
          </w:p>
        </w:tc>
        <w:tc>
          <w:tcPr>
            <w:tcW w:w="1580" w:type="dxa"/>
            <w:tcBorders>
              <w:top w:val="nil"/>
              <w:left w:val="nil"/>
              <w:bottom w:val="nil"/>
              <w:right w:val="single" w:color="auto" w:sz="4" w:space="0"/>
            </w:tcBorders>
            <w:shd w:val="clear" w:color="000000" w:fill="D9D9D9"/>
            <w:noWrap/>
            <w:vAlign w:val="center"/>
            <w:hideMark/>
          </w:tcPr>
          <w:p w:rsidRPr="002671BE" w:rsidR="005D711A" w:rsidP="00594DFD" w:rsidRDefault="0018277D">
            <w:pPr>
              <w:jc w:val="right"/>
              <w:rPr>
                <w:rFonts w:ascii="Verdana" w:hAnsi="Verdana"/>
                <w:szCs w:val="18"/>
              </w:rPr>
            </w:pPr>
            <w:r>
              <w:rPr>
                <w:rFonts w:ascii="Verdana" w:hAnsi="Verdana"/>
                <w:szCs w:val="18"/>
              </w:rPr>
              <w:t>2</w:t>
            </w:r>
            <w:r w:rsidRPr="002671BE" w:rsidR="005D711A">
              <w:rPr>
                <w:rFonts w:ascii="Verdana" w:hAnsi="Verdana"/>
                <w:szCs w:val="18"/>
              </w:rPr>
              <w:t>,2</w:t>
            </w:r>
            <w:r>
              <w:rPr>
                <w:rFonts w:ascii="Verdana" w:hAnsi="Verdana"/>
                <w:szCs w:val="18"/>
              </w:rPr>
              <w:t>26</w:t>
            </w:r>
            <w:r w:rsidRPr="002671BE" w:rsidR="005D711A">
              <w:rPr>
                <w:rFonts w:ascii="Verdana" w:hAnsi="Verdana"/>
                <w:szCs w:val="18"/>
              </w:rPr>
              <w:t xml:space="preserve"> </w:t>
            </w:r>
          </w:p>
        </w:tc>
      </w:tr>
      <w:tr w:rsidRPr="002671BE" w:rsidR="005D711A" w:rsidTr="00C92621">
        <w:trPr>
          <w:trHeight w:val="225"/>
        </w:trPr>
        <w:tc>
          <w:tcPr>
            <w:tcW w:w="5277" w:type="dxa"/>
            <w:tcBorders>
              <w:top w:val="nil"/>
              <w:left w:val="single" w:color="auto" w:sz="4" w:space="0"/>
              <w:bottom w:val="nil"/>
              <w:right w:val="nil"/>
            </w:tcBorders>
            <w:shd w:val="clear" w:color="000000" w:fill="D9D9D9"/>
            <w:noWrap/>
            <w:hideMark/>
          </w:tcPr>
          <w:p w:rsidRPr="002671BE" w:rsidR="005D711A" w:rsidP="00FA64BE" w:rsidRDefault="005D711A">
            <w:pPr>
              <w:overflowPunct/>
              <w:autoSpaceDE/>
              <w:autoSpaceDN/>
              <w:adjustRightInd/>
              <w:ind w:firstLine="180" w:firstLineChars="100"/>
              <w:jc w:val="left"/>
              <w:textAlignment w:val="auto"/>
              <w:rPr>
                <w:rFonts w:ascii="Verdana" w:hAnsi="Verdana" w:cs="Calibri"/>
                <w:szCs w:val="18"/>
                <w:lang w:eastAsia="en-GB"/>
              </w:rPr>
            </w:pPr>
            <w:r w:rsidRPr="002671BE">
              <w:rPr>
                <w:rFonts w:ascii="Verdana" w:hAnsi="Verdana" w:cs="Calibri"/>
                <w:szCs w:val="18"/>
                <w:lang w:eastAsia="en-GB"/>
              </w:rPr>
              <w:t>Other experience</w:t>
            </w:r>
          </w:p>
        </w:tc>
        <w:tc>
          <w:tcPr>
            <w:tcW w:w="1135" w:type="dxa"/>
            <w:tcBorders>
              <w:top w:val="nil"/>
              <w:left w:val="nil"/>
              <w:bottom w:val="nil"/>
              <w:right w:val="nil"/>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w:t>
            </w:r>
          </w:p>
        </w:tc>
        <w:tc>
          <w:tcPr>
            <w:tcW w:w="1234" w:type="dxa"/>
            <w:tcBorders>
              <w:top w:val="nil"/>
              <w:left w:val="nil"/>
              <w:bottom w:val="nil"/>
              <w:right w:val="nil"/>
            </w:tcBorders>
            <w:shd w:val="clear" w:color="000000" w:fill="D9D9D9"/>
            <w:noWrap/>
            <w:vAlign w:val="center"/>
            <w:hideMark/>
          </w:tcPr>
          <w:p w:rsidRPr="002671BE" w:rsidR="005D711A" w:rsidP="0018277D" w:rsidRDefault="005D711A">
            <w:pPr>
              <w:jc w:val="right"/>
              <w:rPr>
                <w:rFonts w:ascii="Verdana" w:hAnsi="Verdana"/>
                <w:szCs w:val="18"/>
              </w:rPr>
            </w:pPr>
            <w:r w:rsidRPr="002671BE">
              <w:rPr>
                <w:rFonts w:ascii="Verdana" w:hAnsi="Verdana"/>
                <w:szCs w:val="18"/>
              </w:rPr>
              <w:t xml:space="preserve">0 </w:t>
            </w:r>
          </w:p>
        </w:tc>
        <w:tc>
          <w:tcPr>
            <w:tcW w:w="1580" w:type="dxa"/>
            <w:tcBorders>
              <w:top w:val="nil"/>
              <w:left w:val="nil"/>
              <w:bottom w:val="nil"/>
              <w:right w:val="single" w:color="auto" w:sz="4" w:space="0"/>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xml:space="preserve">0 </w:t>
            </w:r>
          </w:p>
        </w:tc>
      </w:tr>
      <w:tr w:rsidRPr="002671BE" w:rsidR="005D711A" w:rsidTr="00C92621">
        <w:trPr>
          <w:trHeight w:val="225"/>
        </w:trPr>
        <w:tc>
          <w:tcPr>
            <w:tcW w:w="5277" w:type="dxa"/>
            <w:tcBorders>
              <w:top w:val="nil"/>
              <w:left w:val="single" w:color="auto" w:sz="4" w:space="0"/>
              <w:bottom w:val="nil"/>
              <w:right w:val="nil"/>
            </w:tcBorders>
            <w:shd w:val="clear" w:color="000000" w:fill="D9D9D9"/>
            <w:noWrap/>
            <w:hideMark/>
          </w:tcPr>
          <w:p w:rsidRPr="002671BE" w:rsidR="005D711A" w:rsidP="00FA64BE" w:rsidRDefault="005D711A">
            <w:pPr>
              <w:overflowPunct/>
              <w:autoSpaceDE/>
              <w:autoSpaceDN/>
              <w:adjustRightInd/>
              <w:ind w:firstLine="180" w:firstLineChars="100"/>
              <w:jc w:val="left"/>
              <w:textAlignment w:val="auto"/>
              <w:rPr>
                <w:rFonts w:ascii="Verdana" w:hAnsi="Verdana" w:cs="Calibri"/>
                <w:szCs w:val="18"/>
                <w:lang w:eastAsia="en-GB"/>
              </w:rPr>
            </w:pPr>
            <w:r w:rsidRPr="002671BE">
              <w:rPr>
                <w:rFonts w:ascii="Verdana" w:hAnsi="Verdana" w:cs="Calibri"/>
                <w:szCs w:val="18"/>
                <w:lang w:eastAsia="en-GB"/>
              </w:rPr>
              <w:t>Return on assets ex amounts included in net interest</w:t>
            </w:r>
          </w:p>
        </w:tc>
        <w:tc>
          <w:tcPr>
            <w:tcW w:w="1135" w:type="dxa"/>
            <w:tcBorders>
              <w:top w:val="nil"/>
              <w:left w:val="nil"/>
              <w:bottom w:val="nil"/>
              <w:right w:val="nil"/>
            </w:tcBorders>
            <w:shd w:val="clear" w:color="000000" w:fill="D9D9D9"/>
            <w:noWrap/>
            <w:vAlign w:val="center"/>
            <w:hideMark/>
          </w:tcPr>
          <w:p w:rsidRPr="002671BE" w:rsidR="005D711A" w:rsidP="0018277D" w:rsidRDefault="0018277D">
            <w:pPr>
              <w:jc w:val="right"/>
              <w:rPr>
                <w:rFonts w:ascii="Verdana" w:hAnsi="Verdana"/>
                <w:szCs w:val="18"/>
              </w:rPr>
            </w:pPr>
            <w:r>
              <w:rPr>
                <w:rFonts w:ascii="Verdana" w:hAnsi="Verdana"/>
                <w:szCs w:val="18"/>
              </w:rPr>
              <w:t>1</w:t>
            </w:r>
            <w:r w:rsidRPr="002671BE" w:rsidR="005D711A">
              <w:rPr>
                <w:rFonts w:ascii="Verdana" w:hAnsi="Verdana"/>
                <w:szCs w:val="18"/>
              </w:rPr>
              <w:t>,0</w:t>
            </w:r>
            <w:r>
              <w:rPr>
                <w:rFonts w:ascii="Verdana" w:hAnsi="Verdana"/>
                <w:szCs w:val="18"/>
              </w:rPr>
              <w:t>63</w:t>
            </w:r>
            <w:r w:rsidRPr="002671BE" w:rsidR="005D711A">
              <w:rPr>
                <w:rFonts w:ascii="Verdana" w:hAnsi="Verdana"/>
                <w:szCs w:val="18"/>
              </w:rPr>
              <w:t xml:space="preserve"> </w:t>
            </w:r>
          </w:p>
        </w:tc>
        <w:tc>
          <w:tcPr>
            <w:tcW w:w="1234" w:type="dxa"/>
            <w:tcBorders>
              <w:top w:val="nil"/>
              <w:left w:val="nil"/>
              <w:bottom w:val="nil"/>
              <w:right w:val="nil"/>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w:t>
            </w:r>
          </w:p>
        </w:tc>
        <w:tc>
          <w:tcPr>
            <w:tcW w:w="1580" w:type="dxa"/>
            <w:tcBorders>
              <w:top w:val="nil"/>
              <w:left w:val="nil"/>
              <w:bottom w:val="nil"/>
              <w:right w:val="single" w:color="auto" w:sz="4" w:space="0"/>
            </w:tcBorders>
            <w:shd w:val="clear" w:color="000000" w:fill="D9D9D9"/>
            <w:noWrap/>
            <w:vAlign w:val="center"/>
            <w:hideMark/>
          </w:tcPr>
          <w:p w:rsidRPr="002671BE" w:rsidR="005D711A" w:rsidP="0018277D" w:rsidRDefault="005D711A">
            <w:pPr>
              <w:jc w:val="right"/>
              <w:rPr>
                <w:rFonts w:ascii="Verdana" w:hAnsi="Verdana"/>
                <w:szCs w:val="18"/>
              </w:rPr>
            </w:pPr>
            <w:r w:rsidRPr="002671BE">
              <w:rPr>
                <w:rFonts w:ascii="Verdana" w:hAnsi="Verdana"/>
                <w:szCs w:val="18"/>
              </w:rPr>
              <w:t>1,0</w:t>
            </w:r>
            <w:r w:rsidR="0018277D">
              <w:rPr>
                <w:rFonts w:ascii="Verdana" w:hAnsi="Verdana"/>
                <w:szCs w:val="18"/>
              </w:rPr>
              <w:t>63</w:t>
            </w:r>
            <w:r w:rsidRPr="002671BE">
              <w:rPr>
                <w:rFonts w:ascii="Verdana" w:hAnsi="Verdana"/>
                <w:szCs w:val="18"/>
              </w:rPr>
              <w:t xml:space="preserve"> </w:t>
            </w:r>
          </w:p>
        </w:tc>
      </w:tr>
      <w:tr w:rsidRPr="002671BE" w:rsidR="005D711A" w:rsidTr="00C92621">
        <w:trPr>
          <w:trHeight w:val="225"/>
        </w:trPr>
        <w:tc>
          <w:tcPr>
            <w:tcW w:w="5277" w:type="dxa"/>
            <w:tcBorders>
              <w:top w:val="nil"/>
              <w:left w:val="single" w:color="auto" w:sz="4" w:space="0"/>
              <w:bottom w:val="nil"/>
              <w:right w:val="nil"/>
            </w:tcBorders>
            <w:shd w:val="clear" w:color="000000" w:fill="D9D9D9"/>
            <w:noWrap/>
            <w:hideMark/>
          </w:tcPr>
          <w:p w:rsidRPr="002671BE" w:rsidR="005D711A" w:rsidP="00FA64BE" w:rsidRDefault="005D711A">
            <w:pPr>
              <w:overflowPunct/>
              <w:autoSpaceDE/>
              <w:autoSpaceDN/>
              <w:adjustRightInd/>
              <w:ind w:firstLine="180" w:firstLineChars="100"/>
              <w:jc w:val="left"/>
              <w:textAlignment w:val="auto"/>
              <w:rPr>
                <w:rFonts w:ascii="Verdana" w:hAnsi="Verdana" w:cs="Calibri"/>
                <w:szCs w:val="18"/>
                <w:lang w:eastAsia="en-GB"/>
              </w:rPr>
            </w:pPr>
            <w:r w:rsidRPr="002671BE">
              <w:rPr>
                <w:rFonts w:ascii="Verdana" w:hAnsi="Verdana" w:cs="Calibri"/>
                <w:szCs w:val="18"/>
                <w:lang w:eastAsia="en-GB"/>
              </w:rPr>
              <w:t>Changes in asset ceiling</w:t>
            </w:r>
          </w:p>
        </w:tc>
        <w:tc>
          <w:tcPr>
            <w:tcW w:w="1135" w:type="dxa"/>
            <w:tcBorders>
              <w:top w:val="nil"/>
              <w:left w:val="nil"/>
              <w:bottom w:val="nil"/>
              <w:right w:val="nil"/>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xml:space="preserve">0 </w:t>
            </w:r>
          </w:p>
        </w:tc>
        <w:tc>
          <w:tcPr>
            <w:tcW w:w="1234" w:type="dxa"/>
            <w:tcBorders>
              <w:top w:val="nil"/>
              <w:left w:val="nil"/>
              <w:bottom w:val="nil"/>
              <w:right w:val="nil"/>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xml:space="preserve">0 </w:t>
            </w:r>
          </w:p>
        </w:tc>
        <w:tc>
          <w:tcPr>
            <w:tcW w:w="1580" w:type="dxa"/>
            <w:tcBorders>
              <w:top w:val="nil"/>
              <w:left w:val="nil"/>
              <w:bottom w:val="nil"/>
              <w:right w:val="single" w:color="auto" w:sz="4" w:space="0"/>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xml:space="preserve">0 </w:t>
            </w:r>
          </w:p>
        </w:tc>
      </w:tr>
      <w:tr w:rsidRPr="002671BE" w:rsidR="005D711A" w:rsidTr="00C92621">
        <w:trPr>
          <w:trHeight w:val="225"/>
        </w:trPr>
        <w:tc>
          <w:tcPr>
            <w:tcW w:w="5277" w:type="dxa"/>
            <w:tcBorders>
              <w:top w:val="single" w:color="auto" w:sz="4" w:space="0"/>
              <w:left w:val="single" w:color="auto" w:sz="4" w:space="0"/>
              <w:bottom w:val="single" w:color="auto" w:sz="4" w:space="0"/>
              <w:right w:val="nil"/>
            </w:tcBorders>
            <w:shd w:val="clear" w:color="000000" w:fill="D9D9D9"/>
            <w:noWrap/>
            <w:hideMark/>
          </w:tcPr>
          <w:p w:rsidRPr="002671BE" w:rsidR="005D711A" w:rsidP="00FA64BE" w:rsidRDefault="005D711A">
            <w:pPr>
              <w:overflowPunct/>
              <w:autoSpaceDE/>
              <w:autoSpaceDN/>
              <w:adjustRightInd/>
              <w:jc w:val="left"/>
              <w:textAlignment w:val="auto"/>
              <w:rPr>
                <w:rFonts w:ascii="Verdana" w:hAnsi="Verdana" w:cs="Calibri"/>
                <w:szCs w:val="18"/>
                <w:lang w:eastAsia="en-GB"/>
              </w:rPr>
            </w:pPr>
            <w:r w:rsidRPr="002671BE">
              <w:rPr>
                <w:rFonts w:ascii="Verdana" w:hAnsi="Verdana" w:cs="Calibri"/>
                <w:szCs w:val="18"/>
                <w:lang w:eastAsia="en-GB"/>
              </w:rPr>
              <w:t>Total remeasurements recognised in SCI</w:t>
            </w:r>
          </w:p>
        </w:tc>
        <w:tc>
          <w:tcPr>
            <w:tcW w:w="1135" w:type="dxa"/>
            <w:tcBorders>
              <w:top w:val="single" w:color="auto" w:sz="4" w:space="0"/>
              <w:left w:val="nil"/>
              <w:bottom w:val="single" w:color="auto" w:sz="4" w:space="0"/>
              <w:right w:val="nil"/>
            </w:tcBorders>
            <w:shd w:val="clear" w:color="000000" w:fill="D9D9D9"/>
            <w:noWrap/>
            <w:vAlign w:val="center"/>
            <w:hideMark/>
          </w:tcPr>
          <w:p w:rsidRPr="002671BE" w:rsidR="005D711A" w:rsidP="0018277D" w:rsidRDefault="005D711A">
            <w:pPr>
              <w:jc w:val="right"/>
              <w:rPr>
                <w:rFonts w:ascii="Verdana" w:hAnsi="Verdana"/>
                <w:szCs w:val="18"/>
              </w:rPr>
            </w:pPr>
            <w:r w:rsidRPr="002671BE">
              <w:rPr>
                <w:rFonts w:ascii="Verdana" w:hAnsi="Verdana"/>
                <w:szCs w:val="18"/>
              </w:rPr>
              <w:t>1,0</w:t>
            </w:r>
            <w:r w:rsidR="0018277D">
              <w:rPr>
                <w:rFonts w:ascii="Verdana" w:hAnsi="Verdana"/>
                <w:szCs w:val="18"/>
              </w:rPr>
              <w:t>63</w:t>
            </w:r>
            <w:r w:rsidRPr="002671BE">
              <w:rPr>
                <w:rFonts w:ascii="Verdana" w:hAnsi="Verdana"/>
                <w:szCs w:val="18"/>
              </w:rPr>
              <w:t xml:space="preserve"> </w:t>
            </w:r>
          </w:p>
        </w:tc>
        <w:tc>
          <w:tcPr>
            <w:tcW w:w="1234" w:type="dxa"/>
            <w:tcBorders>
              <w:top w:val="single" w:color="auto" w:sz="4" w:space="0"/>
              <w:left w:val="nil"/>
              <w:bottom w:val="single" w:color="auto" w:sz="4" w:space="0"/>
              <w:right w:val="nil"/>
            </w:tcBorders>
            <w:shd w:val="clear" w:color="000000" w:fill="D9D9D9"/>
            <w:noWrap/>
            <w:vAlign w:val="center"/>
            <w:hideMark/>
          </w:tcPr>
          <w:p w:rsidRPr="002671BE" w:rsidR="005D711A" w:rsidP="0018277D" w:rsidRDefault="0018277D">
            <w:pPr>
              <w:jc w:val="right"/>
              <w:rPr>
                <w:rFonts w:ascii="Verdana" w:hAnsi="Verdana"/>
                <w:szCs w:val="18"/>
              </w:rPr>
            </w:pPr>
            <w:r>
              <w:rPr>
                <w:rFonts w:ascii="Verdana" w:hAnsi="Verdana"/>
                <w:szCs w:val="18"/>
              </w:rPr>
              <w:t>(2</w:t>
            </w:r>
            <w:r w:rsidRPr="002671BE" w:rsidR="005D711A">
              <w:rPr>
                <w:rFonts w:ascii="Verdana" w:hAnsi="Verdana"/>
                <w:szCs w:val="18"/>
              </w:rPr>
              <w:t>,</w:t>
            </w:r>
            <w:r>
              <w:rPr>
                <w:rFonts w:ascii="Verdana" w:hAnsi="Verdana"/>
                <w:szCs w:val="18"/>
              </w:rPr>
              <w:t>226)</w:t>
            </w:r>
            <w:r w:rsidRPr="002671BE" w:rsidR="005D711A">
              <w:rPr>
                <w:rFonts w:ascii="Verdana" w:hAnsi="Verdana"/>
                <w:szCs w:val="18"/>
              </w:rPr>
              <w:t xml:space="preserve"> </w:t>
            </w:r>
          </w:p>
        </w:tc>
        <w:tc>
          <w:tcPr>
            <w:tcW w:w="1580" w:type="dxa"/>
            <w:tcBorders>
              <w:top w:val="single" w:color="auto" w:sz="4" w:space="0"/>
              <w:left w:val="nil"/>
              <w:bottom w:val="single" w:color="auto" w:sz="4" w:space="0"/>
              <w:right w:val="single" w:color="auto" w:sz="4" w:space="0"/>
            </w:tcBorders>
            <w:shd w:val="clear" w:color="000000" w:fill="D9D9D9"/>
            <w:noWrap/>
            <w:vAlign w:val="center"/>
            <w:hideMark/>
          </w:tcPr>
          <w:p w:rsidRPr="002671BE" w:rsidR="005D711A" w:rsidRDefault="00594DFD">
            <w:pPr>
              <w:jc w:val="right"/>
              <w:rPr>
                <w:rFonts w:ascii="Verdana" w:hAnsi="Verdana"/>
                <w:szCs w:val="18"/>
              </w:rPr>
            </w:pPr>
            <w:r>
              <w:rPr>
                <w:rFonts w:ascii="Verdana" w:hAnsi="Verdana"/>
                <w:szCs w:val="18"/>
              </w:rPr>
              <w:t>3,289</w:t>
            </w:r>
            <w:r w:rsidRPr="002671BE" w:rsidR="005D711A">
              <w:rPr>
                <w:rFonts w:ascii="Verdana" w:hAnsi="Verdana"/>
                <w:szCs w:val="18"/>
              </w:rPr>
              <w:t xml:space="preserve"> </w:t>
            </w:r>
          </w:p>
        </w:tc>
      </w:tr>
      <w:tr w:rsidRPr="002671BE" w:rsidR="005D711A" w:rsidTr="00C92621">
        <w:trPr>
          <w:trHeight w:val="225"/>
        </w:trPr>
        <w:tc>
          <w:tcPr>
            <w:tcW w:w="5277" w:type="dxa"/>
            <w:tcBorders>
              <w:top w:val="nil"/>
              <w:left w:val="single" w:color="auto" w:sz="4" w:space="0"/>
              <w:bottom w:val="nil"/>
              <w:right w:val="nil"/>
            </w:tcBorders>
            <w:shd w:val="clear" w:color="000000" w:fill="D9D9D9"/>
            <w:noWrap/>
            <w:hideMark/>
          </w:tcPr>
          <w:p w:rsidRPr="002671BE" w:rsidR="005D711A" w:rsidP="00FA64BE" w:rsidRDefault="005D711A">
            <w:pPr>
              <w:overflowPunct/>
              <w:autoSpaceDE/>
              <w:autoSpaceDN/>
              <w:adjustRightInd/>
              <w:jc w:val="left"/>
              <w:textAlignment w:val="auto"/>
              <w:rPr>
                <w:rFonts w:ascii="Verdana" w:hAnsi="Verdana" w:cs="Calibri"/>
                <w:szCs w:val="18"/>
                <w:lang w:eastAsia="en-GB"/>
              </w:rPr>
            </w:pPr>
            <w:r w:rsidRPr="002671BE">
              <w:rPr>
                <w:rFonts w:ascii="Verdana" w:hAnsi="Verdana" w:cs="Calibri"/>
                <w:szCs w:val="18"/>
                <w:lang w:eastAsia="en-GB"/>
              </w:rPr>
              <w:t>Fair value of plan assets</w:t>
            </w:r>
          </w:p>
        </w:tc>
        <w:tc>
          <w:tcPr>
            <w:tcW w:w="1135" w:type="dxa"/>
            <w:tcBorders>
              <w:top w:val="nil"/>
              <w:left w:val="nil"/>
              <w:bottom w:val="nil"/>
              <w:right w:val="nil"/>
            </w:tcBorders>
            <w:shd w:val="clear" w:color="000000" w:fill="D9D9D9"/>
            <w:noWrap/>
            <w:vAlign w:val="center"/>
            <w:hideMark/>
          </w:tcPr>
          <w:p w:rsidRPr="002671BE" w:rsidR="005D711A" w:rsidP="00594DFD" w:rsidRDefault="00594DFD">
            <w:pPr>
              <w:jc w:val="right"/>
              <w:rPr>
                <w:rFonts w:ascii="Verdana" w:hAnsi="Verdana"/>
                <w:szCs w:val="18"/>
              </w:rPr>
            </w:pPr>
            <w:r>
              <w:rPr>
                <w:rFonts w:ascii="Verdana" w:hAnsi="Verdana"/>
                <w:szCs w:val="18"/>
              </w:rPr>
              <w:t>103</w:t>
            </w:r>
            <w:r w:rsidRPr="002671BE" w:rsidR="005D711A">
              <w:rPr>
                <w:rFonts w:ascii="Verdana" w:hAnsi="Verdana"/>
                <w:szCs w:val="18"/>
              </w:rPr>
              <w:t>,</w:t>
            </w:r>
            <w:r>
              <w:rPr>
                <w:rFonts w:ascii="Verdana" w:hAnsi="Verdana"/>
                <w:szCs w:val="18"/>
              </w:rPr>
              <w:t>175</w:t>
            </w:r>
            <w:r w:rsidRPr="002671BE" w:rsidR="005D711A">
              <w:rPr>
                <w:rFonts w:ascii="Verdana" w:hAnsi="Verdana"/>
                <w:szCs w:val="18"/>
              </w:rPr>
              <w:t xml:space="preserve"> </w:t>
            </w:r>
          </w:p>
        </w:tc>
        <w:tc>
          <w:tcPr>
            <w:tcW w:w="1234" w:type="dxa"/>
            <w:tcBorders>
              <w:top w:val="nil"/>
              <w:left w:val="nil"/>
              <w:bottom w:val="nil"/>
              <w:right w:val="nil"/>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w:t>
            </w:r>
          </w:p>
        </w:tc>
        <w:tc>
          <w:tcPr>
            <w:tcW w:w="1580" w:type="dxa"/>
            <w:tcBorders>
              <w:top w:val="nil"/>
              <w:left w:val="nil"/>
              <w:bottom w:val="nil"/>
              <w:right w:val="single" w:color="auto" w:sz="4" w:space="0"/>
            </w:tcBorders>
            <w:shd w:val="clear" w:color="000000" w:fill="D9D9D9"/>
            <w:noWrap/>
            <w:vAlign w:val="center"/>
            <w:hideMark/>
          </w:tcPr>
          <w:p w:rsidRPr="002671BE" w:rsidR="005D711A" w:rsidP="00594DFD" w:rsidRDefault="00594DFD">
            <w:pPr>
              <w:jc w:val="right"/>
              <w:rPr>
                <w:rFonts w:ascii="Verdana" w:hAnsi="Verdana"/>
                <w:szCs w:val="18"/>
              </w:rPr>
            </w:pPr>
            <w:r>
              <w:rPr>
                <w:rFonts w:ascii="Verdana" w:hAnsi="Verdana"/>
                <w:szCs w:val="18"/>
              </w:rPr>
              <w:t>103</w:t>
            </w:r>
            <w:r w:rsidRPr="002671BE" w:rsidR="005D711A">
              <w:rPr>
                <w:rFonts w:ascii="Verdana" w:hAnsi="Verdana"/>
                <w:szCs w:val="18"/>
              </w:rPr>
              <w:t>,</w:t>
            </w:r>
            <w:r>
              <w:rPr>
                <w:rFonts w:ascii="Verdana" w:hAnsi="Verdana"/>
                <w:szCs w:val="18"/>
              </w:rPr>
              <w:t>175</w:t>
            </w:r>
            <w:r w:rsidRPr="002671BE" w:rsidR="005D711A">
              <w:rPr>
                <w:rFonts w:ascii="Verdana" w:hAnsi="Verdana"/>
                <w:szCs w:val="18"/>
              </w:rPr>
              <w:t xml:space="preserve"> </w:t>
            </w:r>
          </w:p>
        </w:tc>
      </w:tr>
      <w:tr w:rsidRPr="002671BE" w:rsidR="005D711A" w:rsidTr="00C92621">
        <w:trPr>
          <w:trHeight w:val="225"/>
        </w:trPr>
        <w:tc>
          <w:tcPr>
            <w:tcW w:w="5277" w:type="dxa"/>
            <w:tcBorders>
              <w:top w:val="nil"/>
              <w:left w:val="single" w:color="auto" w:sz="4" w:space="0"/>
              <w:bottom w:val="nil"/>
              <w:right w:val="nil"/>
            </w:tcBorders>
            <w:shd w:val="clear" w:color="000000" w:fill="D9D9D9"/>
            <w:noWrap/>
            <w:hideMark/>
          </w:tcPr>
          <w:p w:rsidRPr="002671BE" w:rsidR="005D711A" w:rsidP="00FA64BE" w:rsidRDefault="005D711A">
            <w:pPr>
              <w:overflowPunct/>
              <w:autoSpaceDE/>
              <w:autoSpaceDN/>
              <w:adjustRightInd/>
              <w:jc w:val="left"/>
              <w:textAlignment w:val="auto"/>
              <w:rPr>
                <w:rFonts w:ascii="Verdana" w:hAnsi="Verdana" w:cs="Calibri"/>
                <w:szCs w:val="18"/>
                <w:lang w:eastAsia="en-GB"/>
              </w:rPr>
            </w:pPr>
            <w:r w:rsidRPr="002671BE">
              <w:rPr>
                <w:rFonts w:ascii="Verdana" w:hAnsi="Verdana" w:cs="Calibri"/>
                <w:szCs w:val="18"/>
                <w:lang w:eastAsia="en-GB"/>
              </w:rPr>
              <w:t>Present value of funded liabilities</w:t>
            </w:r>
          </w:p>
        </w:tc>
        <w:tc>
          <w:tcPr>
            <w:tcW w:w="1135" w:type="dxa"/>
            <w:tcBorders>
              <w:top w:val="nil"/>
              <w:left w:val="nil"/>
              <w:bottom w:val="nil"/>
              <w:right w:val="nil"/>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w:t>
            </w:r>
          </w:p>
        </w:tc>
        <w:tc>
          <w:tcPr>
            <w:tcW w:w="1234" w:type="dxa"/>
            <w:tcBorders>
              <w:top w:val="nil"/>
              <w:left w:val="nil"/>
              <w:bottom w:val="nil"/>
              <w:right w:val="nil"/>
            </w:tcBorders>
            <w:shd w:val="clear" w:color="000000" w:fill="D9D9D9"/>
            <w:noWrap/>
            <w:vAlign w:val="center"/>
            <w:hideMark/>
          </w:tcPr>
          <w:p w:rsidRPr="002671BE" w:rsidR="005D711A" w:rsidP="00594DFD" w:rsidRDefault="00594DFD">
            <w:pPr>
              <w:jc w:val="right"/>
              <w:rPr>
                <w:rFonts w:ascii="Verdana" w:hAnsi="Verdana"/>
                <w:szCs w:val="18"/>
              </w:rPr>
            </w:pPr>
            <w:r>
              <w:rPr>
                <w:rFonts w:ascii="Verdana" w:hAnsi="Verdana"/>
                <w:szCs w:val="18"/>
              </w:rPr>
              <w:t>102</w:t>
            </w:r>
            <w:r w:rsidRPr="002671BE" w:rsidR="005D711A">
              <w:rPr>
                <w:rFonts w:ascii="Verdana" w:hAnsi="Verdana"/>
                <w:szCs w:val="18"/>
              </w:rPr>
              <w:t>,</w:t>
            </w:r>
            <w:r>
              <w:rPr>
                <w:rFonts w:ascii="Verdana" w:hAnsi="Verdana"/>
                <w:szCs w:val="18"/>
              </w:rPr>
              <w:t>816</w:t>
            </w:r>
            <w:r w:rsidRPr="002671BE" w:rsidR="005D711A">
              <w:rPr>
                <w:rFonts w:ascii="Verdana" w:hAnsi="Verdana"/>
                <w:szCs w:val="18"/>
              </w:rPr>
              <w:t xml:space="preserve"> </w:t>
            </w:r>
          </w:p>
        </w:tc>
        <w:tc>
          <w:tcPr>
            <w:tcW w:w="1580" w:type="dxa"/>
            <w:tcBorders>
              <w:top w:val="nil"/>
              <w:left w:val="nil"/>
              <w:bottom w:val="nil"/>
              <w:right w:val="single" w:color="auto" w:sz="4" w:space="0"/>
            </w:tcBorders>
            <w:shd w:val="clear" w:color="000000" w:fill="D9D9D9"/>
            <w:noWrap/>
            <w:vAlign w:val="center"/>
            <w:hideMark/>
          </w:tcPr>
          <w:p w:rsidRPr="002671BE" w:rsidR="005D711A" w:rsidP="00594DFD" w:rsidRDefault="00594DFD">
            <w:pPr>
              <w:jc w:val="right"/>
              <w:rPr>
                <w:rFonts w:ascii="Verdana" w:hAnsi="Verdana"/>
                <w:szCs w:val="18"/>
              </w:rPr>
            </w:pPr>
            <w:r>
              <w:rPr>
                <w:rFonts w:ascii="Verdana" w:hAnsi="Verdana"/>
                <w:szCs w:val="18"/>
              </w:rPr>
              <w:t>(102</w:t>
            </w:r>
            <w:r w:rsidRPr="002671BE" w:rsidR="005D711A">
              <w:rPr>
                <w:rFonts w:ascii="Verdana" w:hAnsi="Verdana"/>
                <w:szCs w:val="18"/>
              </w:rPr>
              <w:t>,</w:t>
            </w:r>
            <w:r>
              <w:rPr>
                <w:rFonts w:ascii="Verdana" w:hAnsi="Verdana"/>
                <w:szCs w:val="18"/>
              </w:rPr>
              <w:t>816</w:t>
            </w:r>
            <w:r w:rsidRPr="002671BE" w:rsidR="002671BE">
              <w:rPr>
                <w:rFonts w:ascii="Verdana" w:hAnsi="Verdana"/>
                <w:szCs w:val="18"/>
              </w:rPr>
              <w:t>)</w:t>
            </w:r>
            <w:r w:rsidRPr="002671BE" w:rsidR="005D711A">
              <w:rPr>
                <w:rFonts w:ascii="Verdana" w:hAnsi="Verdana"/>
                <w:szCs w:val="18"/>
              </w:rPr>
              <w:t xml:space="preserve"> </w:t>
            </w:r>
          </w:p>
        </w:tc>
      </w:tr>
      <w:tr w:rsidRPr="002671BE" w:rsidR="005D711A" w:rsidTr="00C92621">
        <w:trPr>
          <w:trHeight w:val="225"/>
        </w:trPr>
        <w:tc>
          <w:tcPr>
            <w:tcW w:w="5277" w:type="dxa"/>
            <w:tcBorders>
              <w:top w:val="nil"/>
              <w:left w:val="single" w:color="auto" w:sz="4" w:space="0"/>
              <w:bottom w:val="nil"/>
              <w:right w:val="nil"/>
            </w:tcBorders>
            <w:shd w:val="clear" w:color="000000" w:fill="D9D9D9"/>
            <w:noWrap/>
            <w:hideMark/>
          </w:tcPr>
          <w:p w:rsidRPr="002671BE" w:rsidR="005D711A" w:rsidP="00FA64BE" w:rsidRDefault="005D711A">
            <w:pPr>
              <w:overflowPunct/>
              <w:autoSpaceDE/>
              <w:autoSpaceDN/>
              <w:adjustRightInd/>
              <w:jc w:val="left"/>
              <w:textAlignment w:val="auto"/>
              <w:rPr>
                <w:rFonts w:ascii="Verdana" w:hAnsi="Verdana" w:cs="Calibri"/>
                <w:szCs w:val="18"/>
                <w:lang w:eastAsia="en-GB"/>
              </w:rPr>
            </w:pPr>
            <w:r w:rsidRPr="002671BE">
              <w:rPr>
                <w:rFonts w:ascii="Verdana" w:hAnsi="Verdana" w:cs="Calibri"/>
                <w:szCs w:val="18"/>
                <w:lang w:eastAsia="en-GB"/>
              </w:rPr>
              <w:t>Present value of unfunded liabilities</w:t>
            </w:r>
          </w:p>
        </w:tc>
        <w:tc>
          <w:tcPr>
            <w:tcW w:w="1135" w:type="dxa"/>
            <w:tcBorders>
              <w:top w:val="nil"/>
              <w:left w:val="nil"/>
              <w:bottom w:val="nil"/>
              <w:right w:val="nil"/>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w:t>
            </w:r>
          </w:p>
        </w:tc>
        <w:tc>
          <w:tcPr>
            <w:tcW w:w="1234" w:type="dxa"/>
            <w:tcBorders>
              <w:top w:val="nil"/>
              <w:left w:val="nil"/>
              <w:bottom w:val="nil"/>
              <w:right w:val="nil"/>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w:t>
            </w:r>
          </w:p>
        </w:tc>
        <w:tc>
          <w:tcPr>
            <w:tcW w:w="1580" w:type="dxa"/>
            <w:tcBorders>
              <w:top w:val="nil"/>
              <w:left w:val="nil"/>
              <w:bottom w:val="nil"/>
              <w:right w:val="single" w:color="auto" w:sz="4" w:space="0"/>
            </w:tcBorders>
            <w:shd w:val="clear" w:color="000000" w:fill="D9D9D9"/>
            <w:noWrap/>
            <w:vAlign w:val="center"/>
            <w:hideMark/>
          </w:tcPr>
          <w:p w:rsidRPr="002671BE" w:rsidR="005D711A" w:rsidRDefault="005D711A">
            <w:pPr>
              <w:jc w:val="right"/>
              <w:rPr>
                <w:rFonts w:ascii="Verdana" w:hAnsi="Verdana"/>
                <w:szCs w:val="18"/>
              </w:rPr>
            </w:pPr>
            <w:r w:rsidRPr="002671BE">
              <w:rPr>
                <w:rFonts w:ascii="Verdana" w:hAnsi="Verdana"/>
                <w:szCs w:val="18"/>
              </w:rPr>
              <w:t> </w:t>
            </w:r>
          </w:p>
        </w:tc>
      </w:tr>
      <w:tr w:rsidRPr="002671BE" w:rsidR="005D711A" w:rsidTr="00C92621">
        <w:trPr>
          <w:trHeight w:val="225"/>
        </w:trPr>
        <w:tc>
          <w:tcPr>
            <w:tcW w:w="5277" w:type="dxa"/>
            <w:tcBorders>
              <w:top w:val="single" w:color="auto" w:sz="4" w:space="0"/>
              <w:left w:val="single" w:color="auto" w:sz="4" w:space="0"/>
              <w:bottom w:val="single" w:color="auto" w:sz="4" w:space="0"/>
              <w:right w:val="nil"/>
            </w:tcBorders>
            <w:shd w:val="clear" w:color="000000" w:fill="D9D9D9"/>
            <w:noWrap/>
            <w:hideMark/>
          </w:tcPr>
          <w:p w:rsidRPr="002671BE" w:rsidR="005D711A" w:rsidP="008114A6" w:rsidRDefault="005D711A">
            <w:pPr>
              <w:overflowPunct/>
              <w:autoSpaceDE/>
              <w:autoSpaceDN/>
              <w:adjustRightInd/>
              <w:jc w:val="left"/>
              <w:textAlignment w:val="auto"/>
              <w:rPr>
                <w:rFonts w:ascii="Verdana" w:hAnsi="Verdana" w:cs="Calibri"/>
                <w:szCs w:val="18"/>
                <w:lang w:eastAsia="en-GB"/>
              </w:rPr>
            </w:pPr>
            <w:r w:rsidRPr="002671BE">
              <w:rPr>
                <w:rFonts w:ascii="Verdana" w:hAnsi="Verdana" w:cs="Calibri"/>
                <w:szCs w:val="18"/>
                <w:lang w:eastAsia="en-GB"/>
              </w:rPr>
              <w:t>Closing position as at 31 March 201</w:t>
            </w:r>
            <w:r w:rsidR="00657B3F">
              <w:rPr>
                <w:rFonts w:ascii="Verdana" w:hAnsi="Verdana" w:cs="Calibri"/>
                <w:szCs w:val="18"/>
                <w:lang w:eastAsia="en-GB"/>
              </w:rPr>
              <w:t>8</w:t>
            </w:r>
          </w:p>
        </w:tc>
        <w:tc>
          <w:tcPr>
            <w:tcW w:w="1135" w:type="dxa"/>
            <w:tcBorders>
              <w:top w:val="single" w:color="auto" w:sz="4" w:space="0"/>
              <w:left w:val="nil"/>
              <w:bottom w:val="single" w:color="auto" w:sz="4" w:space="0"/>
              <w:right w:val="nil"/>
            </w:tcBorders>
            <w:shd w:val="clear" w:color="000000" w:fill="D9D9D9"/>
            <w:noWrap/>
            <w:vAlign w:val="center"/>
            <w:hideMark/>
          </w:tcPr>
          <w:p w:rsidRPr="002671BE" w:rsidR="005D711A" w:rsidP="00594DFD" w:rsidRDefault="00594DFD">
            <w:pPr>
              <w:jc w:val="right"/>
              <w:rPr>
                <w:rFonts w:ascii="Verdana" w:hAnsi="Verdana"/>
                <w:szCs w:val="18"/>
              </w:rPr>
            </w:pPr>
            <w:r>
              <w:rPr>
                <w:rFonts w:ascii="Verdana" w:hAnsi="Verdana"/>
                <w:szCs w:val="18"/>
              </w:rPr>
              <w:t>103</w:t>
            </w:r>
            <w:r w:rsidRPr="002671BE" w:rsidR="005D711A">
              <w:rPr>
                <w:rFonts w:ascii="Verdana" w:hAnsi="Verdana"/>
                <w:szCs w:val="18"/>
              </w:rPr>
              <w:t>,</w:t>
            </w:r>
            <w:r>
              <w:rPr>
                <w:rFonts w:ascii="Verdana" w:hAnsi="Verdana"/>
                <w:szCs w:val="18"/>
              </w:rPr>
              <w:t>175</w:t>
            </w:r>
            <w:r w:rsidRPr="002671BE" w:rsidR="005D711A">
              <w:rPr>
                <w:rFonts w:ascii="Verdana" w:hAnsi="Verdana"/>
                <w:szCs w:val="18"/>
              </w:rPr>
              <w:t xml:space="preserve"> </w:t>
            </w:r>
          </w:p>
        </w:tc>
        <w:tc>
          <w:tcPr>
            <w:tcW w:w="1234" w:type="dxa"/>
            <w:tcBorders>
              <w:top w:val="single" w:color="auto" w:sz="4" w:space="0"/>
              <w:left w:val="nil"/>
              <w:bottom w:val="single" w:color="auto" w:sz="4" w:space="0"/>
              <w:right w:val="nil"/>
            </w:tcBorders>
            <w:shd w:val="clear" w:color="000000" w:fill="D9D9D9"/>
            <w:noWrap/>
            <w:vAlign w:val="center"/>
            <w:hideMark/>
          </w:tcPr>
          <w:p w:rsidRPr="002671BE" w:rsidR="005D711A" w:rsidP="00594DFD" w:rsidRDefault="00594DFD">
            <w:pPr>
              <w:jc w:val="right"/>
              <w:rPr>
                <w:rFonts w:ascii="Verdana" w:hAnsi="Verdana"/>
                <w:szCs w:val="18"/>
              </w:rPr>
            </w:pPr>
            <w:r>
              <w:rPr>
                <w:rFonts w:ascii="Verdana" w:hAnsi="Verdana"/>
                <w:szCs w:val="18"/>
              </w:rPr>
              <w:t>102</w:t>
            </w:r>
            <w:r w:rsidRPr="002671BE" w:rsidR="005D711A">
              <w:rPr>
                <w:rFonts w:ascii="Verdana" w:hAnsi="Verdana"/>
                <w:szCs w:val="18"/>
              </w:rPr>
              <w:t>,</w:t>
            </w:r>
            <w:r>
              <w:rPr>
                <w:rFonts w:ascii="Verdana" w:hAnsi="Verdana"/>
                <w:szCs w:val="18"/>
              </w:rPr>
              <w:t>816</w:t>
            </w:r>
            <w:r w:rsidRPr="002671BE" w:rsidR="005D711A">
              <w:rPr>
                <w:rFonts w:ascii="Verdana" w:hAnsi="Verdana"/>
                <w:szCs w:val="18"/>
              </w:rPr>
              <w:t xml:space="preserve"> </w:t>
            </w:r>
          </w:p>
        </w:tc>
        <w:tc>
          <w:tcPr>
            <w:tcW w:w="1580" w:type="dxa"/>
            <w:tcBorders>
              <w:top w:val="single" w:color="auto" w:sz="4" w:space="0"/>
              <w:left w:val="nil"/>
              <w:bottom w:val="single" w:color="auto" w:sz="4" w:space="0"/>
              <w:right w:val="single" w:color="auto" w:sz="4" w:space="0"/>
            </w:tcBorders>
            <w:shd w:val="clear" w:color="000000" w:fill="D9D9D9"/>
            <w:noWrap/>
            <w:vAlign w:val="center"/>
            <w:hideMark/>
          </w:tcPr>
          <w:p w:rsidRPr="002671BE" w:rsidR="005D711A" w:rsidP="00594DFD" w:rsidRDefault="00594DFD">
            <w:pPr>
              <w:jc w:val="right"/>
              <w:rPr>
                <w:rFonts w:ascii="Verdana" w:hAnsi="Verdana"/>
                <w:szCs w:val="18"/>
              </w:rPr>
            </w:pPr>
            <w:r>
              <w:rPr>
                <w:rFonts w:ascii="Verdana" w:hAnsi="Verdana"/>
                <w:szCs w:val="18"/>
              </w:rPr>
              <w:t>359</w:t>
            </w:r>
            <w:r w:rsidRPr="002671BE" w:rsidR="005D711A">
              <w:rPr>
                <w:rFonts w:ascii="Verdana" w:hAnsi="Verdana"/>
                <w:szCs w:val="18"/>
              </w:rPr>
              <w:t xml:space="preserve"> </w:t>
            </w:r>
          </w:p>
        </w:tc>
      </w:tr>
    </w:tbl>
    <w:p w:rsidRPr="008B41ED" w:rsidR="00427940" w:rsidP="008F7B71" w:rsidRDefault="00427940">
      <w:pPr>
        <w:pStyle w:val="ACText"/>
        <w:rPr>
          <w:rFonts w:ascii="Verdana" w:hAnsi="Verdana"/>
          <w:b/>
          <w:bCs/>
          <w:color w:val="000000"/>
          <w:highlight w:val="yellow"/>
          <w:lang w:eastAsia="en-GB"/>
        </w:rPr>
      </w:pPr>
    </w:p>
    <w:p w:rsidRPr="005D711A" w:rsidR="00FA64BE" w:rsidP="00FA64BE" w:rsidRDefault="00FA64BE">
      <w:pPr>
        <w:pStyle w:val="Heading1"/>
        <w:numPr>
          <w:ilvl w:val="0"/>
          <w:numId w:val="0"/>
        </w:numPr>
        <w:rPr>
          <w:rFonts w:ascii="Verdana" w:hAnsi="Verdana"/>
          <w:bCs/>
        </w:rPr>
      </w:pPr>
      <w:r w:rsidRPr="008B41ED">
        <w:rPr>
          <w:rFonts w:ascii="Verdana" w:hAnsi="Verdana"/>
          <w:b w:val="0"/>
          <w:bCs/>
          <w:color w:val="000000"/>
          <w:highlight w:val="yellow"/>
          <w:lang w:eastAsia="en-GB"/>
        </w:rPr>
        <w:br w:type="page"/>
      </w:r>
      <w:r w:rsidRPr="005D711A">
        <w:rPr>
          <w:rFonts w:ascii="Verdana" w:hAnsi="Verdana" w:cs="Arial"/>
          <w:sz w:val="26"/>
          <w:szCs w:val="26"/>
        </w:rPr>
        <w:t>Notes – continued</w:t>
      </w:r>
    </w:p>
    <w:p w:rsidRPr="005D711A" w:rsidR="00FA64BE" w:rsidP="008F7B71" w:rsidRDefault="00FA64BE">
      <w:pPr>
        <w:pStyle w:val="ACText"/>
        <w:rPr>
          <w:rFonts w:ascii="Verdana" w:hAnsi="Verdana"/>
          <w:b/>
          <w:bCs/>
          <w:color w:val="000000"/>
          <w:lang w:eastAsia="en-GB"/>
        </w:rPr>
      </w:pPr>
      <w:r w:rsidRPr="005D711A">
        <w:rPr>
          <w:rFonts w:ascii="Verdana" w:hAnsi="Verdana"/>
          <w:b/>
          <w:bCs/>
          <w:color w:val="000000"/>
          <w:lang w:eastAsia="en-GB"/>
        </w:rPr>
        <w:t>D. FRS102 Pension Scheme Disclosures at 31 March 201</w:t>
      </w:r>
      <w:r w:rsidR="00657B3F">
        <w:rPr>
          <w:rFonts w:ascii="Verdana" w:hAnsi="Verdana"/>
          <w:b/>
          <w:bCs/>
          <w:color w:val="000000"/>
          <w:lang w:eastAsia="en-GB"/>
        </w:rPr>
        <w:t>7</w:t>
      </w:r>
    </w:p>
    <w:p w:rsidRPr="008B41ED" w:rsidR="00FA64BE" w:rsidP="008F7B71" w:rsidRDefault="00FA64BE">
      <w:pPr>
        <w:pStyle w:val="ACText"/>
        <w:rPr>
          <w:rFonts w:ascii="Verdana" w:hAnsi="Verdana"/>
          <w:b/>
          <w:bCs/>
          <w:color w:val="000000"/>
          <w:highlight w:val="yellow"/>
          <w:lang w:eastAsia="en-GB"/>
        </w:rPr>
      </w:pPr>
    </w:p>
    <w:tbl>
      <w:tblPr>
        <w:tblW w:w="9226" w:type="dxa"/>
        <w:tblInd w:w="250" w:type="dxa"/>
        <w:tblLook w:val="04A0" w:firstRow="1" w:lastRow="0" w:firstColumn="1" w:lastColumn="0" w:noHBand="0" w:noVBand="1"/>
      </w:tblPr>
      <w:tblGrid>
        <w:gridCol w:w="5282"/>
        <w:gridCol w:w="1127"/>
        <w:gridCol w:w="1237"/>
        <w:gridCol w:w="1580"/>
      </w:tblGrid>
      <w:tr w:rsidRPr="002671BE" w:rsidR="00FA64BE" w:rsidTr="00FA64BE">
        <w:trPr>
          <w:trHeight w:val="900"/>
        </w:trPr>
        <w:tc>
          <w:tcPr>
            <w:tcW w:w="5282" w:type="dxa"/>
            <w:tcBorders>
              <w:top w:val="single" w:color="auto" w:sz="4" w:space="0"/>
              <w:left w:val="single" w:color="auto" w:sz="4" w:space="0"/>
              <w:bottom w:val="single" w:color="auto" w:sz="4" w:space="0"/>
              <w:right w:val="nil"/>
            </w:tcBorders>
            <w:shd w:val="clear" w:color="000000" w:fill="000000"/>
            <w:vAlign w:val="bottom"/>
            <w:hideMark/>
          </w:tcPr>
          <w:p w:rsidRPr="002671BE" w:rsidR="00FA64BE" w:rsidP="00657B3F" w:rsidRDefault="00FA64BE">
            <w:pPr>
              <w:overflowPunct/>
              <w:autoSpaceDE/>
              <w:autoSpaceDN/>
              <w:adjustRightInd/>
              <w:jc w:val="left"/>
              <w:textAlignment w:val="auto"/>
              <w:rPr>
                <w:rFonts w:ascii="Verdana" w:hAnsi="Verdana" w:cs="Calibri"/>
                <w:szCs w:val="18"/>
                <w:lang w:eastAsia="en-GB"/>
              </w:rPr>
            </w:pPr>
            <w:r w:rsidRPr="002671BE">
              <w:rPr>
                <w:rFonts w:ascii="Verdana" w:hAnsi="Verdana" w:cs="Calibri"/>
                <w:szCs w:val="18"/>
                <w:lang w:eastAsia="en-GB"/>
              </w:rPr>
              <w:t>Period Ending 31 March 201</w:t>
            </w:r>
            <w:r w:rsidR="00657B3F">
              <w:rPr>
                <w:rFonts w:ascii="Verdana" w:hAnsi="Verdana" w:cs="Calibri"/>
                <w:szCs w:val="18"/>
                <w:lang w:eastAsia="en-GB"/>
              </w:rPr>
              <w:t>7</w:t>
            </w:r>
          </w:p>
        </w:tc>
        <w:tc>
          <w:tcPr>
            <w:tcW w:w="1127" w:type="dxa"/>
            <w:tcBorders>
              <w:top w:val="single" w:color="auto" w:sz="4" w:space="0"/>
              <w:left w:val="nil"/>
              <w:bottom w:val="single" w:color="auto" w:sz="4" w:space="0"/>
              <w:right w:val="nil"/>
            </w:tcBorders>
            <w:shd w:val="clear" w:color="000000" w:fill="000000"/>
            <w:vAlign w:val="bottom"/>
            <w:hideMark/>
          </w:tcPr>
          <w:p w:rsidRPr="002671BE" w:rsidR="00FA64BE" w:rsidP="00FA64BE" w:rsidRDefault="00FA64BE">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xml:space="preserve"> Assets £(000) </w:t>
            </w:r>
          </w:p>
        </w:tc>
        <w:tc>
          <w:tcPr>
            <w:tcW w:w="1237" w:type="dxa"/>
            <w:tcBorders>
              <w:top w:val="single" w:color="auto" w:sz="4" w:space="0"/>
              <w:left w:val="nil"/>
              <w:bottom w:val="single" w:color="auto" w:sz="4" w:space="0"/>
              <w:right w:val="nil"/>
            </w:tcBorders>
            <w:shd w:val="clear" w:color="000000" w:fill="000000"/>
            <w:vAlign w:val="bottom"/>
            <w:hideMark/>
          </w:tcPr>
          <w:p w:rsidRPr="002671BE" w:rsidR="00FA64BE" w:rsidP="00FA64BE" w:rsidRDefault="00FA64BE">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xml:space="preserve"> Obligations £(000) </w:t>
            </w:r>
          </w:p>
        </w:tc>
        <w:tc>
          <w:tcPr>
            <w:tcW w:w="1580" w:type="dxa"/>
            <w:tcBorders>
              <w:top w:val="single" w:color="auto" w:sz="4" w:space="0"/>
              <w:left w:val="nil"/>
              <w:bottom w:val="single" w:color="auto" w:sz="4" w:space="0"/>
              <w:right w:val="single" w:color="auto" w:sz="4" w:space="0"/>
            </w:tcBorders>
            <w:shd w:val="clear" w:color="000000" w:fill="000000"/>
            <w:vAlign w:val="bottom"/>
            <w:hideMark/>
          </w:tcPr>
          <w:p w:rsidRPr="002671BE" w:rsidR="00FA64BE" w:rsidP="00FA64BE" w:rsidRDefault="00FA64BE">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xml:space="preserve"> Net (liability)/asset £(000) </w:t>
            </w:r>
          </w:p>
        </w:tc>
      </w:tr>
      <w:tr w:rsidRPr="002671BE" w:rsidR="00535C32" w:rsidTr="00FA64BE">
        <w:trPr>
          <w:trHeight w:val="225"/>
        </w:trPr>
        <w:tc>
          <w:tcPr>
            <w:tcW w:w="5282" w:type="dxa"/>
            <w:tcBorders>
              <w:top w:val="nil"/>
              <w:left w:val="single" w:color="auto" w:sz="4" w:space="0"/>
              <w:bottom w:val="nil"/>
              <w:right w:val="nil"/>
            </w:tcBorders>
            <w:shd w:val="clear" w:color="000000" w:fill="D9D9D9"/>
            <w:noWrap/>
            <w:vAlign w:val="bottom"/>
            <w:hideMark/>
          </w:tcPr>
          <w:p w:rsidRPr="002671BE" w:rsidR="00535C32" w:rsidP="00FA64BE" w:rsidRDefault="00535C32">
            <w:pPr>
              <w:overflowPunct/>
              <w:autoSpaceDE/>
              <w:autoSpaceDN/>
              <w:adjustRightInd/>
              <w:jc w:val="left"/>
              <w:textAlignment w:val="auto"/>
              <w:rPr>
                <w:rFonts w:ascii="Verdana" w:hAnsi="Verdana" w:cs="Calibri"/>
                <w:szCs w:val="18"/>
                <w:lang w:eastAsia="en-GB"/>
              </w:rPr>
            </w:pPr>
            <w:r w:rsidRPr="002671BE">
              <w:rPr>
                <w:rFonts w:ascii="Verdana" w:hAnsi="Verdana" w:cs="Calibri"/>
                <w:szCs w:val="18"/>
                <w:lang w:eastAsia="en-GB"/>
              </w:rPr>
              <w:t>Fair value of plan assets</w:t>
            </w:r>
          </w:p>
        </w:tc>
        <w:tc>
          <w:tcPr>
            <w:tcW w:w="1127" w:type="dxa"/>
            <w:tcBorders>
              <w:top w:val="nil"/>
              <w:left w:val="nil"/>
              <w:bottom w:val="nil"/>
              <w:right w:val="nil"/>
            </w:tcBorders>
            <w:shd w:val="clear" w:color="000000" w:fill="D9D9D9"/>
            <w:noWrap/>
            <w:vAlign w:val="bottom"/>
            <w:hideMark/>
          </w:tcPr>
          <w:p w:rsidRPr="002671BE" w:rsidR="00535C32" w:rsidP="00657B3F" w:rsidRDefault="00657B3F">
            <w:pPr>
              <w:overflowPunct/>
              <w:autoSpaceDE/>
              <w:autoSpaceDN/>
              <w:adjustRightInd/>
              <w:jc w:val="right"/>
              <w:textAlignment w:val="auto"/>
              <w:rPr>
                <w:rFonts w:ascii="Verdana" w:hAnsi="Verdana" w:cs="Calibri"/>
                <w:szCs w:val="18"/>
                <w:lang w:eastAsia="en-GB"/>
              </w:rPr>
            </w:pPr>
            <w:r>
              <w:rPr>
                <w:rFonts w:ascii="Verdana" w:hAnsi="Verdana" w:cs="Calibri"/>
                <w:szCs w:val="18"/>
                <w:lang w:eastAsia="en-GB"/>
              </w:rPr>
              <w:t>82</w:t>
            </w:r>
            <w:r w:rsidRPr="002671BE" w:rsidR="00535C32">
              <w:rPr>
                <w:rFonts w:ascii="Verdana" w:hAnsi="Verdana" w:cs="Calibri"/>
                <w:szCs w:val="18"/>
                <w:lang w:eastAsia="en-GB"/>
              </w:rPr>
              <w:t>,</w:t>
            </w:r>
            <w:r>
              <w:rPr>
                <w:rFonts w:ascii="Verdana" w:hAnsi="Verdana" w:cs="Calibri"/>
                <w:szCs w:val="18"/>
                <w:lang w:eastAsia="en-GB"/>
              </w:rPr>
              <w:t>605</w:t>
            </w:r>
          </w:p>
        </w:tc>
        <w:tc>
          <w:tcPr>
            <w:tcW w:w="1237" w:type="dxa"/>
            <w:tcBorders>
              <w:top w:val="nil"/>
              <w:left w:val="nil"/>
              <w:bottom w:val="nil"/>
              <w:right w:val="nil"/>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c>
          <w:tcPr>
            <w:tcW w:w="1580" w:type="dxa"/>
            <w:tcBorders>
              <w:top w:val="nil"/>
              <w:left w:val="nil"/>
              <w:bottom w:val="nil"/>
              <w:right w:val="single" w:color="auto" w:sz="4" w:space="0"/>
            </w:tcBorders>
            <w:shd w:val="clear" w:color="000000" w:fill="D9D9D9"/>
            <w:noWrap/>
            <w:vAlign w:val="bottom"/>
            <w:hideMark/>
          </w:tcPr>
          <w:p w:rsidRPr="002671BE" w:rsidR="00535C32" w:rsidP="00657B3F" w:rsidRDefault="00657B3F">
            <w:pPr>
              <w:overflowPunct/>
              <w:autoSpaceDE/>
              <w:autoSpaceDN/>
              <w:adjustRightInd/>
              <w:jc w:val="right"/>
              <w:textAlignment w:val="auto"/>
              <w:rPr>
                <w:rFonts w:ascii="Verdana" w:hAnsi="Verdana" w:cs="Calibri"/>
                <w:szCs w:val="18"/>
                <w:lang w:eastAsia="en-GB"/>
              </w:rPr>
            </w:pPr>
            <w:r>
              <w:rPr>
                <w:rFonts w:ascii="Verdana" w:hAnsi="Verdana" w:cs="Calibri"/>
                <w:szCs w:val="18"/>
                <w:lang w:eastAsia="en-GB"/>
              </w:rPr>
              <w:t>82</w:t>
            </w:r>
            <w:r w:rsidRPr="002671BE" w:rsidR="00535C32">
              <w:rPr>
                <w:rFonts w:ascii="Verdana" w:hAnsi="Verdana" w:cs="Calibri"/>
                <w:szCs w:val="18"/>
                <w:lang w:eastAsia="en-GB"/>
              </w:rPr>
              <w:t>,</w:t>
            </w:r>
            <w:r>
              <w:rPr>
                <w:rFonts w:ascii="Verdana" w:hAnsi="Verdana" w:cs="Calibri"/>
                <w:szCs w:val="18"/>
                <w:lang w:eastAsia="en-GB"/>
              </w:rPr>
              <w:t>605</w:t>
            </w:r>
          </w:p>
        </w:tc>
      </w:tr>
      <w:tr w:rsidRPr="002671BE" w:rsidR="00535C32" w:rsidTr="00FA64BE">
        <w:trPr>
          <w:trHeight w:val="225"/>
        </w:trPr>
        <w:tc>
          <w:tcPr>
            <w:tcW w:w="5282" w:type="dxa"/>
            <w:tcBorders>
              <w:top w:val="nil"/>
              <w:left w:val="single" w:color="auto" w:sz="4" w:space="0"/>
              <w:bottom w:val="nil"/>
              <w:right w:val="nil"/>
            </w:tcBorders>
            <w:shd w:val="clear" w:color="000000" w:fill="D9D9D9"/>
            <w:noWrap/>
            <w:vAlign w:val="bottom"/>
            <w:hideMark/>
          </w:tcPr>
          <w:p w:rsidRPr="002671BE" w:rsidR="00535C32" w:rsidP="00FA64BE" w:rsidRDefault="00535C32">
            <w:pPr>
              <w:overflowPunct/>
              <w:autoSpaceDE/>
              <w:autoSpaceDN/>
              <w:adjustRightInd/>
              <w:jc w:val="left"/>
              <w:textAlignment w:val="auto"/>
              <w:rPr>
                <w:rFonts w:ascii="Verdana" w:hAnsi="Verdana" w:cs="Calibri"/>
                <w:szCs w:val="18"/>
                <w:lang w:eastAsia="en-GB"/>
              </w:rPr>
            </w:pPr>
            <w:r w:rsidRPr="002671BE">
              <w:rPr>
                <w:rFonts w:ascii="Verdana" w:hAnsi="Verdana" w:cs="Calibri"/>
                <w:szCs w:val="18"/>
                <w:lang w:eastAsia="en-GB"/>
              </w:rPr>
              <w:t>Present value of funded liabilities</w:t>
            </w:r>
          </w:p>
        </w:tc>
        <w:tc>
          <w:tcPr>
            <w:tcW w:w="1127" w:type="dxa"/>
            <w:tcBorders>
              <w:top w:val="nil"/>
              <w:left w:val="nil"/>
              <w:bottom w:val="nil"/>
              <w:right w:val="nil"/>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c>
          <w:tcPr>
            <w:tcW w:w="1237" w:type="dxa"/>
            <w:tcBorders>
              <w:top w:val="nil"/>
              <w:left w:val="nil"/>
              <w:bottom w:val="nil"/>
              <w:right w:val="nil"/>
            </w:tcBorders>
            <w:shd w:val="clear" w:color="000000" w:fill="D9D9D9"/>
            <w:noWrap/>
            <w:vAlign w:val="bottom"/>
            <w:hideMark/>
          </w:tcPr>
          <w:p w:rsidRPr="002671BE" w:rsidR="00535C32" w:rsidP="00657B3F"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8</w:t>
            </w:r>
            <w:r w:rsidR="00657B3F">
              <w:rPr>
                <w:rFonts w:ascii="Verdana" w:hAnsi="Verdana" w:cs="Calibri"/>
                <w:szCs w:val="18"/>
                <w:lang w:eastAsia="en-GB"/>
              </w:rPr>
              <w:t>5</w:t>
            </w:r>
            <w:r w:rsidRPr="002671BE">
              <w:rPr>
                <w:rFonts w:ascii="Verdana" w:hAnsi="Verdana" w:cs="Calibri"/>
                <w:szCs w:val="18"/>
                <w:lang w:eastAsia="en-GB"/>
              </w:rPr>
              <w:t>,</w:t>
            </w:r>
            <w:r w:rsidR="00657B3F">
              <w:rPr>
                <w:rFonts w:ascii="Verdana" w:hAnsi="Verdana" w:cs="Calibri"/>
                <w:szCs w:val="18"/>
                <w:lang w:eastAsia="en-GB"/>
              </w:rPr>
              <w:t>147</w:t>
            </w:r>
          </w:p>
        </w:tc>
        <w:tc>
          <w:tcPr>
            <w:tcW w:w="1580" w:type="dxa"/>
            <w:tcBorders>
              <w:top w:val="nil"/>
              <w:left w:val="nil"/>
              <w:bottom w:val="nil"/>
              <w:right w:val="single" w:color="auto" w:sz="4" w:space="0"/>
            </w:tcBorders>
            <w:shd w:val="clear" w:color="000000" w:fill="D9D9D9"/>
            <w:noWrap/>
            <w:vAlign w:val="bottom"/>
            <w:hideMark/>
          </w:tcPr>
          <w:p w:rsidRPr="002671BE" w:rsidR="00535C32" w:rsidP="00657B3F"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(8</w:t>
            </w:r>
            <w:r w:rsidR="00657B3F">
              <w:rPr>
                <w:rFonts w:ascii="Verdana" w:hAnsi="Verdana" w:cs="Calibri"/>
                <w:szCs w:val="18"/>
                <w:lang w:eastAsia="en-GB"/>
              </w:rPr>
              <w:t>5,147</w:t>
            </w:r>
            <w:r w:rsidRPr="002671BE">
              <w:rPr>
                <w:rFonts w:ascii="Verdana" w:hAnsi="Verdana" w:cs="Calibri"/>
                <w:szCs w:val="18"/>
                <w:lang w:eastAsia="en-GB"/>
              </w:rPr>
              <w:t>)</w:t>
            </w:r>
          </w:p>
        </w:tc>
      </w:tr>
      <w:tr w:rsidRPr="002671BE" w:rsidR="00535C32" w:rsidTr="00FA64BE">
        <w:trPr>
          <w:trHeight w:val="225"/>
        </w:trPr>
        <w:tc>
          <w:tcPr>
            <w:tcW w:w="5282" w:type="dxa"/>
            <w:tcBorders>
              <w:top w:val="nil"/>
              <w:left w:val="single" w:color="auto" w:sz="4" w:space="0"/>
              <w:bottom w:val="nil"/>
              <w:right w:val="nil"/>
            </w:tcBorders>
            <w:shd w:val="clear" w:color="000000" w:fill="D9D9D9"/>
            <w:noWrap/>
            <w:vAlign w:val="bottom"/>
            <w:hideMark/>
          </w:tcPr>
          <w:p w:rsidRPr="002671BE" w:rsidR="00535C32" w:rsidP="00FA64BE" w:rsidRDefault="00535C32">
            <w:pPr>
              <w:overflowPunct/>
              <w:autoSpaceDE/>
              <w:autoSpaceDN/>
              <w:adjustRightInd/>
              <w:textAlignment w:val="auto"/>
              <w:rPr>
                <w:rFonts w:ascii="Verdana" w:hAnsi="Verdana" w:cs="Calibri"/>
                <w:szCs w:val="18"/>
                <w:lang w:eastAsia="en-GB"/>
              </w:rPr>
            </w:pPr>
            <w:r w:rsidRPr="002671BE">
              <w:rPr>
                <w:rFonts w:ascii="Verdana" w:hAnsi="Verdana" w:cs="Calibri"/>
                <w:szCs w:val="18"/>
                <w:lang w:eastAsia="en-GB"/>
              </w:rPr>
              <w:t>Present value of unfunded liabilities</w:t>
            </w:r>
          </w:p>
        </w:tc>
        <w:tc>
          <w:tcPr>
            <w:tcW w:w="1127" w:type="dxa"/>
            <w:tcBorders>
              <w:top w:val="nil"/>
              <w:left w:val="nil"/>
              <w:bottom w:val="nil"/>
              <w:right w:val="nil"/>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c>
          <w:tcPr>
            <w:tcW w:w="1237" w:type="dxa"/>
            <w:tcBorders>
              <w:top w:val="nil"/>
              <w:left w:val="nil"/>
              <w:bottom w:val="nil"/>
              <w:right w:val="nil"/>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c>
          <w:tcPr>
            <w:tcW w:w="1580" w:type="dxa"/>
            <w:tcBorders>
              <w:top w:val="nil"/>
              <w:left w:val="nil"/>
              <w:bottom w:val="nil"/>
              <w:right w:val="single" w:color="auto" w:sz="4" w:space="0"/>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r>
      <w:tr w:rsidRPr="002671BE" w:rsidR="00535C32" w:rsidTr="00FA64BE">
        <w:trPr>
          <w:trHeight w:val="225"/>
        </w:trPr>
        <w:tc>
          <w:tcPr>
            <w:tcW w:w="5282" w:type="dxa"/>
            <w:tcBorders>
              <w:top w:val="single" w:color="auto" w:sz="4" w:space="0"/>
              <w:left w:val="single" w:color="auto" w:sz="4" w:space="0"/>
              <w:bottom w:val="single" w:color="auto" w:sz="4" w:space="0"/>
              <w:right w:val="nil"/>
            </w:tcBorders>
            <w:shd w:val="clear" w:color="000000" w:fill="D9D9D9"/>
            <w:noWrap/>
            <w:vAlign w:val="bottom"/>
            <w:hideMark/>
          </w:tcPr>
          <w:p w:rsidRPr="002671BE" w:rsidR="00535C32" w:rsidP="00657B3F" w:rsidRDefault="00535C32">
            <w:pPr>
              <w:overflowPunct/>
              <w:autoSpaceDE/>
              <w:autoSpaceDN/>
              <w:adjustRightInd/>
              <w:textAlignment w:val="auto"/>
              <w:rPr>
                <w:rFonts w:ascii="Verdana" w:hAnsi="Verdana" w:cs="Calibri"/>
                <w:szCs w:val="18"/>
                <w:lang w:eastAsia="en-GB"/>
              </w:rPr>
            </w:pPr>
            <w:r w:rsidRPr="002671BE">
              <w:rPr>
                <w:rFonts w:ascii="Verdana" w:hAnsi="Verdana" w:cs="Calibri"/>
                <w:szCs w:val="18"/>
                <w:lang w:eastAsia="en-GB"/>
              </w:rPr>
              <w:t>Opening Position as at 31 March 201</w:t>
            </w:r>
            <w:r w:rsidR="00657B3F">
              <w:rPr>
                <w:rFonts w:ascii="Verdana" w:hAnsi="Verdana" w:cs="Calibri"/>
                <w:szCs w:val="18"/>
                <w:lang w:eastAsia="en-GB"/>
              </w:rPr>
              <w:t>6</w:t>
            </w:r>
          </w:p>
        </w:tc>
        <w:tc>
          <w:tcPr>
            <w:tcW w:w="1127" w:type="dxa"/>
            <w:tcBorders>
              <w:top w:val="single" w:color="auto" w:sz="4" w:space="0"/>
              <w:left w:val="nil"/>
              <w:bottom w:val="single" w:color="auto" w:sz="4" w:space="0"/>
              <w:right w:val="nil"/>
            </w:tcBorders>
            <w:shd w:val="clear" w:color="000000" w:fill="D9D9D9"/>
            <w:noWrap/>
            <w:vAlign w:val="bottom"/>
            <w:hideMark/>
          </w:tcPr>
          <w:p w:rsidRPr="002671BE" w:rsidR="00535C32" w:rsidP="00C92621" w:rsidRDefault="00657B3F">
            <w:pPr>
              <w:overflowPunct/>
              <w:autoSpaceDE/>
              <w:autoSpaceDN/>
              <w:adjustRightInd/>
              <w:jc w:val="right"/>
              <w:textAlignment w:val="auto"/>
              <w:rPr>
                <w:rFonts w:ascii="Verdana" w:hAnsi="Verdana" w:cs="Calibri"/>
                <w:szCs w:val="18"/>
                <w:lang w:eastAsia="en-GB"/>
              </w:rPr>
            </w:pPr>
            <w:r>
              <w:rPr>
                <w:rFonts w:ascii="Verdana" w:hAnsi="Verdana" w:cs="Calibri"/>
                <w:szCs w:val="18"/>
                <w:lang w:eastAsia="en-GB"/>
              </w:rPr>
              <w:t>82,605</w:t>
            </w:r>
          </w:p>
        </w:tc>
        <w:tc>
          <w:tcPr>
            <w:tcW w:w="1237" w:type="dxa"/>
            <w:tcBorders>
              <w:top w:val="single" w:color="auto" w:sz="4" w:space="0"/>
              <w:left w:val="nil"/>
              <w:bottom w:val="single" w:color="auto" w:sz="4" w:space="0"/>
              <w:right w:val="nil"/>
            </w:tcBorders>
            <w:shd w:val="clear" w:color="000000" w:fill="D9D9D9"/>
            <w:noWrap/>
            <w:vAlign w:val="bottom"/>
            <w:hideMark/>
          </w:tcPr>
          <w:p w:rsidRPr="002671BE" w:rsidR="00535C32" w:rsidP="00657B3F"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8</w:t>
            </w:r>
            <w:r w:rsidR="00657B3F">
              <w:rPr>
                <w:rFonts w:ascii="Verdana" w:hAnsi="Verdana" w:cs="Calibri"/>
                <w:szCs w:val="18"/>
                <w:lang w:eastAsia="en-GB"/>
              </w:rPr>
              <w:t>5</w:t>
            </w:r>
            <w:r w:rsidRPr="002671BE">
              <w:rPr>
                <w:rFonts w:ascii="Verdana" w:hAnsi="Verdana" w:cs="Calibri"/>
                <w:szCs w:val="18"/>
                <w:lang w:eastAsia="en-GB"/>
              </w:rPr>
              <w:t>,</w:t>
            </w:r>
            <w:r w:rsidR="00657B3F">
              <w:rPr>
                <w:rFonts w:ascii="Verdana" w:hAnsi="Verdana" w:cs="Calibri"/>
                <w:szCs w:val="18"/>
                <w:lang w:eastAsia="en-GB"/>
              </w:rPr>
              <w:t>147</w:t>
            </w:r>
          </w:p>
        </w:tc>
        <w:tc>
          <w:tcPr>
            <w:tcW w:w="1580" w:type="dxa"/>
            <w:tcBorders>
              <w:top w:val="single" w:color="auto" w:sz="4" w:space="0"/>
              <w:left w:val="nil"/>
              <w:bottom w:val="single" w:color="auto" w:sz="4" w:space="0"/>
              <w:right w:val="single" w:color="auto" w:sz="4" w:space="0"/>
            </w:tcBorders>
            <w:shd w:val="clear" w:color="000000" w:fill="D9D9D9"/>
            <w:noWrap/>
            <w:vAlign w:val="bottom"/>
            <w:hideMark/>
          </w:tcPr>
          <w:p w:rsidRPr="002671BE" w:rsidR="00535C32" w:rsidP="00657B3F"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w:t>
            </w:r>
            <w:r w:rsidR="00657B3F">
              <w:rPr>
                <w:rFonts w:ascii="Verdana" w:hAnsi="Verdana" w:cs="Calibri"/>
                <w:szCs w:val="18"/>
                <w:lang w:eastAsia="en-GB"/>
              </w:rPr>
              <w:t>2</w:t>
            </w:r>
            <w:r w:rsidRPr="002671BE">
              <w:rPr>
                <w:rFonts w:ascii="Verdana" w:hAnsi="Verdana" w:cs="Calibri"/>
                <w:szCs w:val="18"/>
                <w:lang w:eastAsia="en-GB"/>
              </w:rPr>
              <w:t>,54</w:t>
            </w:r>
            <w:r w:rsidR="00657B3F">
              <w:rPr>
                <w:rFonts w:ascii="Verdana" w:hAnsi="Verdana" w:cs="Calibri"/>
                <w:szCs w:val="18"/>
                <w:lang w:eastAsia="en-GB"/>
              </w:rPr>
              <w:t>2</w:t>
            </w:r>
            <w:r w:rsidRPr="002671BE">
              <w:rPr>
                <w:rFonts w:ascii="Verdana" w:hAnsi="Verdana" w:cs="Calibri"/>
                <w:szCs w:val="18"/>
                <w:lang w:eastAsia="en-GB"/>
              </w:rPr>
              <w:t>)</w:t>
            </w:r>
          </w:p>
        </w:tc>
      </w:tr>
      <w:tr w:rsidRPr="002671BE" w:rsidR="00535C32" w:rsidTr="00FA64BE">
        <w:trPr>
          <w:trHeight w:val="225"/>
        </w:trPr>
        <w:tc>
          <w:tcPr>
            <w:tcW w:w="5282" w:type="dxa"/>
            <w:tcBorders>
              <w:top w:val="nil"/>
              <w:left w:val="single" w:color="auto" w:sz="4" w:space="0"/>
              <w:bottom w:val="nil"/>
              <w:right w:val="nil"/>
            </w:tcBorders>
            <w:shd w:val="clear" w:color="000000" w:fill="D9D9D9"/>
            <w:noWrap/>
            <w:vAlign w:val="bottom"/>
            <w:hideMark/>
          </w:tcPr>
          <w:p w:rsidRPr="002671BE" w:rsidR="00535C32" w:rsidP="00FA64BE" w:rsidRDefault="00535C32">
            <w:pPr>
              <w:overflowPunct/>
              <w:autoSpaceDE/>
              <w:autoSpaceDN/>
              <w:adjustRightInd/>
              <w:textAlignment w:val="auto"/>
              <w:rPr>
                <w:rFonts w:ascii="Verdana" w:hAnsi="Verdana" w:cs="Calibri"/>
                <w:szCs w:val="18"/>
                <w:lang w:eastAsia="en-GB"/>
              </w:rPr>
            </w:pPr>
            <w:r w:rsidRPr="002671BE">
              <w:rPr>
                <w:rFonts w:ascii="Verdana" w:hAnsi="Verdana" w:cs="Calibri"/>
                <w:szCs w:val="18"/>
                <w:lang w:eastAsia="en-GB"/>
              </w:rPr>
              <w:t>Service cost</w:t>
            </w:r>
          </w:p>
        </w:tc>
        <w:tc>
          <w:tcPr>
            <w:tcW w:w="1127" w:type="dxa"/>
            <w:tcBorders>
              <w:top w:val="nil"/>
              <w:left w:val="nil"/>
              <w:bottom w:val="nil"/>
              <w:right w:val="nil"/>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c>
          <w:tcPr>
            <w:tcW w:w="1237" w:type="dxa"/>
            <w:tcBorders>
              <w:top w:val="nil"/>
              <w:left w:val="nil"/>
              <w:bottom w:val="nil"/>
              <w:right w:val="nil"/>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c>
          <w:tcPr>
            <w:tcW w:w="1580" w:type="dxa"/>
            <w:tcBorders>
              <w:top w:val="nil"/>
              <w:left w:val="nil"/>
              <w:bottom w:val="nil"/>
              <w:right w:val="single" w:color="auto" w:sz="4" w:space="0"/>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r>
      <w:tr w:rsidRPr="002671BE" w:rsidR="00535C32" w:rsidTr="00FA64BE">
        <w:trPr>
          <w:trHeight w:val="225"/>
        </w:trPr>
        <w:tc>
          <w:tcPr>
            <w:tcW w:w="5282" w:type="dxa"/>
            <w:tcBorders>
              <w:top w:val="nil"/>
              <w:left w:val="single" w:color="auto" w:sz="4" w:space="0"/>
              <w:bottom w:val="nil"/>
              <w:right w:val="nil"/>
            </w:tcBorders>
            <w:shd w:val="clear" w:color="000000" w:fill="D9D9D9"/>
            <w:noWrap/>
            <w:vAlign w:val="bottom"/>
            <w:hideMark/>
          </w:tcPr>
          <w:p w:rsidRPr="002671BE" w:rsidR="00535C32" w:rsidP="00FA64BE" w:rsidRDefault="00535C32">
            <w:pPr>
              <w:overflowPunct/>
              <w:autoSpaceDE/>
              <w:autoSpaceDN/>
              <w:adjustRightInd/>
              <w:ind w:firstLine="180" w:firstLineChars="100"/>
              <w:jc w:val="left"/>
              <w:textAlignment w:val="auto"/>
              <w:rPr>
                <w:rFonts w:ascii="Verdana" w:hAnsi="Verdana" w:cs="Calibri"/>
                <w:szCs w:val="18"/>
                <w:lang w:eastAsia="en-GB"/>
              </w:rPr>
            </w:pPr>
            <w:r w:rsidRPr="002671BE">
              <w:rPr>
                <w:rFonts w:ascii="Verdana" w:hAnsi="Verdana" w:cs="Calibri"/>
                <w:szCs w:val="18"/>
                <w:lang w:eastAsia="en-GB"/>
              </w:rPr>
              <w:t>Current service cost</w:t>
            </w:r>
          </w:p>
        </w:tc>
        <w:tc>
          <w:tcPr>
            <w:tcW w:w="1127" w:type="dxa"/>
            <w:tcBorders>
              <w:top w:val="nil"/>
              <w:left w:val="nil"/>
              <w:bottom w:val="nil"/>
              <w:right w:val="nil"/>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c>
          <w:tcPr>
            <w:tcW w:w="1237" w:type="dxa"/>
            <w:tcBorders>
              <w:top w:val="nil"/>
              <w:left w:val="nil"/>
              <w:bottom w:val="nil"/>
              <w:right w:val="nil"/>
            </w:tcBorders>
            <w:shd w:val="clear" w:color="000000" w:fill="D9D9D9"/>
            <w:noWrap/>
            <w:vAlign w:val="bottom"/>
            <w:hideMark/>
          </w:tcPr>
          <w:p w:rsidRPr="002671BE" w:rsidR="00535C32" w:rsidP="00657B3F" w:rsidRDefault="00657B3F">
            <w:pPr>
              <w:overflowPunct/>
              <w:autoSpaceDE/>
              <w:autoSpaceDN/>
              <w:adjustRightInd/>
              <w:jc w:val="right"/>
              <w:textAlignment w:val="auto"/>
              <w:rPr>
                <w:rFonts w:ascii="Verdana" w:hAnsi="Verdana" w:cs="Calibri"/>
                <w:szCs w:val="18"/>
                <w:lang w:eastAsia="en-GB"/>
              </w:rPr>
            </w:pPr>
            <w:r>
              <w:rPr>
                <w:rFonts w:ascii="Verdana" w:hAnsi="Verdana" w:cs="Calibri"/>
                <w:szCs w:val="18"/>
                <w:lang w:eastAsia="en-GB"/>
              </w:rPr>
              <w:t>2</w:t>
            </w:r>
            <w:r w:rsidRPr="002671BE" w:rsidR="00535C32">
              <w:rPr>
                <w:rFonts w:ascii="Verdana" w:hAnsi="Verdana" w:cs="Calibri"/>
                <w:szCs w:val="18"/>
                <w:lang w:eastAsia="en-GB"/>
              </w:rPr>
              <w:t>,</w:t>
            </w:r>
            <w:r>
              <w:rPr>
                <w:rFonts w:ascii="Verdana" w:hAnsi="Verdana" w:cs="Calibri"/>
                <w:szCs w:val="18"/>
                <w:lang w:eastAsia="en-GB"/>
              </w:rPr>
              <w:t>790</w:t>
            </w:r>
          </w:p>
        </w:tc>
        <w:tc>
          <w:tcPr>
            <w:tcW w:w="1580" w:type="dxa"/>
            <w:tcBorders>
              <w:top w:val="nil"/>
              <w:left w:val="nil"/>
              <w:bottom w:val="nil"/>
              <w:right w:val="single" w:color="auto" w:sz="4" w:space="0"/>
            </w:tcBorders>
            <w:shd w:val="clear" w:color="000000" w:fill="D9D9D9"/>
            <w:noWrap/>
            <w:vAlign w:val="bottom"/>
            <w:hideMark/>
          </w:tcPr>
          <w:p w:rsidRPr="002671BE" w:rsidR="00535C32" w:rsidP="00657B3F"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w:t>
            </w:r>
            <w:r w:rsidR="00657B3F">
              <w:rPr>
                <w:rFonts w:ascii="Verdana" w:hAnsi="Verdana" w:cs="Calibri"/>
                <w:szCs w:val="18"/>
                <w:lang w:eastAsia="en-GB"/>
              </w:rPr>
              <w:t>2</w:t>
            </w:r>
            <w:r w:rsidRPr="002671BE">
              <w:rPr>
                <w:rFonts w:ascii="Verdana" w:hAnsi="Verdana" w:cs="Calibri"/>
                <w:szCs w:val="18"/>
                <w:lang w:eastAsia="en-GB"/>
              </w:rPr>
              <w:t>,</w:t>
            </w:r>
            <w:r w:rsidR="00657B3F">
              <w:rPr>
                <w:rFonts w:ascii="Verdana" w:hAnsi="Verdana" w:cs="Calibri"/>
                <w:szCs w:val="18"/>
                <w:lang w:eastAsia="en-GB"/>
              </w:rPr>
              <w:t>790</w:t>
            </w:r>
            <w:r w:rsidRPr="002671BE">
              <w:rPr>
                <w:rFonts w:ascii="Verdana" w:hAnsi="Verdana" w:cs="Calibri"/>
                <w:szCs w:val="18"/>
                <w:lang w:eastAsia="en-GB"/>
              </w:rPr>
              <w:t>)</w:t>
            </w:r>
          </w:p>
        </w:tc>
      </w:tr>
      <w:tr w:rsidRPr="002671BE" w:rsidR="00535C32" w:rsidTr="00FA64BE">
        <w:trPr>
          <w:trHeight w:val="225"/>
        </w:trPr>
        <w:tc>
          <w:tcPr>
            <w:tcW w:w="5282" w:type="dxa"/>
            <w:tcBorders>
              <w:top w:val="nil"/>
              <w:left w:val="single" w:color="auto" w:sz="4" w:space="0"/>
              <w:bottom w:val="nil"/>
              <w:right w:val="nil"/>
            </w:tcBorders>
            <w:shd w:val="clear" w:color="000000" w:fill="D9D9D9"/>
            <w:noWrap/>
            <w:vAlign w:val="bottom"/>
            <w:hideMark/>
          </w:tcPr>
          <w:p w:rsidRPr="002671BE" w:rsidR="00535C32" w:rsidP="00FA64BE" w:rsidRDefault="00535C32">
            <w:pPr>
              <w:overflowPunct/>
              <w:autoSpaceDE/>
              <w:autoSpaceDN/>
              <w:adjustRightInd/>
              <w:ind w:firstLine="180" w:firstLineChars="100"/>
              <w:jc w:val="left"/>
              <w:textAlignment w:val="auto"/>
              <w:rPr>
                <w:rFonts w:ascii="Verdana" w:hAnsi="Verdana" w:cs="Calibri"/>
                <w:szCs w:val="18"/>
                <w:lang w:eastAsia="en-GB"/>
              </w:rPr>
            </w:pPr>
            <w:r w:rsidRPr="002671BE">
              <w:rPr>
                <w:rFonts w:ascii="Verdana" w:hAnsi="Verdana" w:cs="Calibri"/>
                <w:szCs w:val="18"/>
                <w:lang w:eastAsia="en-GB"/>
              </w:rPr>
              <w:t>Past service cost (including curtailments)</w:t>
            </w:r>
          </w:p>
        </w:tc>
        <w:tc>
          <w:tcPr>
            <w:tcW w:w="1127" w:type="dxa"/>
            <w:tcBorders>
              <w:top w:val="nil"/>
              <w:left w:val="nil"/>
              <w:bottom w:val="nil"/>
              <w:right w:val="nil"/>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c>
          <w:tcPr>
            <w:tcW w:w="1237" w:type="dxa"/>
            <w:tcBorders>
              <w:top w:val="nil"/>
              <w:left w:val="nil"/>
              <w:bottom w:val="nil"/>
              <w:right w:val="nil"/>
            </w:tcBorders>
            <w:shd w:val="clear" w:color="000000" w:fill="D9D9D9"/>
            <w:noWrap/>
            <w:vAlign w:val="bottom"/>
            <w:hideMark/>
          </w:tcPr>
          <w:p w:rsidRPr="002671BE" w:rsidR="00535C32" w:rsidP="00657B3F" w:rsidRDefault="00657B3F">
            <w:pPr>
              <w:overflowPunct/>
              <w:autoSpaceDE/>
              <w:autoSpaceDN/>
              <w:adjustRightInd/>
              <w:jc w:val="right"/>
              <w:textAlignment w:val="auto"/>
              <w:rPr>
                <w:rFonts w:ascii="Verdana" w:hAnsi="Verdana" w:cs="Calibri"/>
                <w:szCs w:val="18"/>
                <w:lang w:eastAsia="en-GB"/>
              </w:rPr>
            </w:pPr>
            <w:r>
              <w:rPr>
                <w:rFonts w:ascii="Verdana" w:hAnsi="Verdana" w:cs="Calibri"/>
                <w:szCs w:val="18"/>
                <w:lang w:eastAsia="en-GB"/>
              </w:rPr>
              <w:t>570</w:t>
            </w:r>
          </w:p>
        </w:tc>
        <w:tc>
          <w:tcPr>
            <w:tcW w:w="1580" w:type="dxa"/>
            <w:tcBorders>
              <w:top w:val="nil"/>
              <w:left w:val="nil"/>
              <w:bottom w:val="nil"/>
              <w:right w:val="single" w:color="auto" w:sz="4" w:space="0"/>
            </w:tcBorders>
            <w:shd w:val="clear" w:color="000000" w:fill="D9D9D9"/>
            <w:noWrap/>
            <w:vAlign w:val="bottom"/>
            <w:hideMark/>
          </w:tcPr>
          <w:p w:rsidRPr="002671BE" w:rsidR="00535C32" w:rsidP="00C92621" w:rsidRDefault="00657B3F">
            <w:pPr>
              <w:overflowPunct/>
              <w:autoSpaceDE/>
              <w:autoSpaceDN/>
              <w:adjustRightInd/>
              <w:jc w:val="right"/>
              <w:textAlignment w:val="auto"/>
              <w:rPr>
                <w:rFonts w:ascii="Verdana" w:hAnsi="Verdana" w:cs="Calibri"/>
                <w:szCs w:val="18"/>
                <w:lang w:eastAsia="en-GB"/>
              </w:rPr>
            </w:pPr>
            <w:r>
              <w:rPr>
                <w:rFonts w:ascii="Verdana" w:hAnsi="Verdana" w:cs="Calibri"/>
                <w:szCs w:val="18"/>
                <w:lang w:eastAsia="en-GB"/>
              </w:rPr>
              <w:t>(570)</w:t>
            </w:r>
            <w:r w:rsidRPr="002671BE" w:rsidR="00535C32">
              <w:rPr>
                <w:rFonts w:ascii="Verdana" w:hAnsi="Verdana" w:cs="Calibri"/>
                <w:szCs w:val="18"/>
                <w:lang w:eastAsia="en-GB"/>
              </w:rPr>
              <w:t> </w:t>
            </w:r>
          </w:p>
        </w:tc>
      </w:tr>
      <w:tr w:rsidRPr="002671BE" w:rsidR="00535C32" w:rsidTr="00FA64BE">
        <w:trPr>
          <w:trHeight w:val="225"/>
        </w:trPr>
        <w:tc>
          <w:tcPr>
            <w:tcW w:w="5282" w:type="dxa"/>
            <w:tcBorders>
              <w:top w:val="nil"/>
              <w:left w:val="single" w:color="auto" w:sz="4" w:space="0"/>
              <w:bottom w:val="nil"/>
              <w:right w:val="nil"/>
            </w:tcBorders>
            <w:shd w:val="clear" w:color="000000" w:fill="D9D9D9"/>
            <w:noWrap/>
            <w:vAlign w:val="bottom"/>
            <w:hideMark/>
          </w:tcPr>
          <w:p w:rsidRPr="002671BE" w:rsidR="00535C32" w:rsidP="00FA64BE" w:rsidRDefault="00535C32">
            <w:pPr>
              <w:overflowPunct/>
              <w:autoSpaceDE/>
              <w:autoSpaceDN/>
              <w:adjustRightInd/>
              <w:ind w:firstLine="180" w:firstLineChars="100"/>
              <w:jc w:val="left"/>
              <w:textAlignment w:val="auto"/>
              <w:rPr>
                <w:rFonts w:ascii="Verdana" w:hAnsi="Verdana" w:cs="Calibri"/>
                <w:szCs w:val="18"/>
                <w:lang w:eastAsia="en-GB"/>
              </w:rPr>
            </w:pPr>
            <w:r w:rsidRPr="002671BE">
              <w:rPr>
                <w:rFonts w:ascii="Verdana" w:hAnsi="Verdana" w:cs="Calibri"/>
                <w:szCs w:val="18"/>
                <w:lang w:eastAsia="en-GB"/>
              </w:rPr>
              <w:t>Effect of settlements</w:t>
            </w:r>
          </w:p>
        </w:tc>
        <w:tc>
          <w:tcPr>
            <w:tcW w:w="1127" w:type="dxa"/>
            <w:tcBorders>
              <w:top w:val="nil"/>
              <w:left w:val="nil"/>
              <w:bottom w:val="nil"/>
              <w:right w:val="nil"/>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c>
          <w:tcPr>
            <w:tcW w:w="1237" w:type="dxa"/>
            <w:tcBorders>
              <w:top w:val="nil"/>
              <w:left w:val="nil"/>
              <w:bottom w:val="nil"/>
              <w:right w:val="nil"/>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c>
          <w:tcPr>
            <w:tcW w:w="1580" w:type="dxa"/>
            <w:tcBorders>
              <w:top w:val="nil"/>
              <w:left w:val="nil"/>
              <w:bottom w:val="nil"/>
              <w:right w:val="single" w:color="auto" w:sz="4" w:space="0"/>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r>
      <w:tr w:rsidRPr="002671BE" w:rsidR="00535C32" w:rsidTr="00FA64BE">
        <w:trPr>
          <w:trHeight w:val="225"/>
        </w:trPr>
        <w:tc>
          <w:tcPr>
            <w:tcW w:w="5282" w:type="dxa"/>
            <w:tcBorders>
              <w:top w:val="single" w:color="auto" w:sz="4" w:space="0"/>
              <w:left w:val="single" w:color="auto" w:sz="4" w:space="0"/>
              <w:bottom w:val="single" w:color="auto" w:sz="4" w:space="0"/>
              <w:right w:val="nil"/>
            </w:tcBorders>
            <w:shd w:val="clear" w:color="000000" w:fill="D9D9D9"/>
            <w:noWrap/>
            <w:vAlign w:val="bottom"/>
            <w:hideMark/>
          </w:tcPr>
          <w:p w:rsidRPr="002671BE" w:rsidR="00535C32" w:rsidP="00FA64BE" w:rsidRDefault="00535C32">
            <w:pPr>
              <w:overflowPunct/>
              <w:autoSpaceDE/>
              <w:autoSpaceDN/>
              <w:adjustRightInd/>
              <w:jc w:val="left"/>
              <w:textAlignment w:val="auto"/>
              <w:rPr>
                <w:rFonts w:ascii="Verdana" w:hAnsi="Verdana" w:cs="Calibri"/>
                <w:szCs w:val="18"/>
                <w:lang w:eastAsia="en-GB"/>
              </w:rPr>
            </w:pPr>
            <w:r w:rsidRPr="002671BE">
              <w:rPr>
                <w:rFonts w:ascii="Verdana" w:hAnsi="Verdana" w:cs="Calibri"/>
                <w:szCs w:val="18"/>
                <w:lang w:eastAsia="en-GB"/>
              </w:rPr>
              <w:t>Total service cost</w:t>
            </w:r>
          </w:p>
        </w:tc>
        <w:tc>
          <w:tcPr>
            <w:tcW w:w="1127" w:type="dxa"/>
            <w:tcBorders>
              <w:top w:val="single" w:color="auto" w:sz="4" w:space="0"/>
              <w:left w:val="nil"/>
              <w:bottom w:val="single" w:color="auto" w:sz="4" w:space="0"/>
              <w:right w:val="nil"/>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c>
          <w:tcPr>
            <w:tcW w:w="1237" w:type="dxa"/>
            <w:tcBorders>
              <w:top w:val="single" w:color="auto" w:sz="4" w:space="0"/>
              <w:left w:val="nil"/>
              <w:bottom w:val="single" w:color="auto" w:sz="4" w:space="0"/>
              <w:right w:val="nil"/>
            </w:tcBorders>
            <w:shd w:val="clear" w:color="000000" w:fill="D9D9D9"/>
            <w:noWrap/>
            <w:vAlign w:val="bottom"/>
            <w:hideMark/>
          </w:tcPr>
          <w:p w:rsidRPr="002671BE" w:rsidR="00535C32" w:rsidP="00657B3F"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3,3</w:t>
            </w:r>
            <w:r w:rsidR="00657B3F">
              <w:rPr>
                <w:rFonts w:ascii="Verdana" w:hAnsi="Verdana" w:cs="Calibri"/>
                <w:szCs w:val="18"/>
                <w:lang w:eastAsia="en-GB"/>
              </w:rPr>
              <w:t>60</w:t>
            </w:r>
          </w:p>
        </w:tc>
        <w:tc>
          <w:tcPr>
            <w:tcW w:w="1580" w:type="dxa"/>
            <w:tcBorders>
              <w:top w:val="single" w:color="auto" w:sz="4" w:space="0"/>
              <w:left w:val="nil"/>
              <w:bottom w:val="single" w:color="auto" w:sz="4" w:space="0"/>
              <w:right w:val="single" w:color="auto" w:sz="4" w:space="0"/>
            </w:tcBorders>
            <w:shd w:val="clear" w:color="000000" w:fill="D9D9D9"/>
            <w:noWrap/>
            <w:vAlign w:val="bottom"/>
            <w:hideMark/>
          </w:tcPr>
          <w:p w:rsidRPr="002671BE" w:rsidR="00535C32" w:rsidP="00657B3F"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(3,3</w:t>
            </w:r>
            <w:r w:rsidR="00657B3F">
              <w:rPr>
                <w:rFonts w:ascii="Verdana" w:hAnsi="Verdana" w:cs="Calibri"/>
                <w:szCs w:val="18"/>
                <w:lang w:eastAsia="en-GB"/>
              </w:rPr>
              <w:t>60</w:t>
            </w:r>
            <w:r w:rsidRPr="002671BE">
              <w:rPr>
                <w:rFonts w:ascii="Verdana" w:hAnsi="Verdana" w:cs="Calibri"/>
                <w:szCs w:val="18"/>
                <w:lang w:eastAsia="en-GB"/>
              </w:rPr>
              <w:t>)</w:t>
            </w:r>
          </w:p>
        </w:tc>
      </w:tr>
      <w:tr w:rsidRPr="002671BE" w:rsidR="00535C32" w:rsidTr="00FA64BE">
        <w:trPr>
          <w:trHeight w:val="225"/>
        </w:trPr>
        <w:tc>
          <w:tcPr>
            <w:tcW w:w="5282" w:type="dxa"/>
            <w:tcBorders>
              <w:top w:val="nil"/>
              <w:left w:val="single" w:color="auto" w:sz="4" w:space="0"/>
              <w:bottom w:val="nil"/>
              <w:right w:val="nil"/>
            </w:tcBorders>
            <w:shd w:val="clear" w:color="000000" w:fill="D9D9D9"/>
            <w:noWrap/>
            <w:vAlign w:val="bottom"/>
            <w:hideMark/>
          </w:tcPr>
          <w:p w:rsidRPr="002671BE" w:rsidR="00535C32" w:rsidP="00FA64BE" w:rsidRDefault="00535C32">
            <w:pPr>
              <w:overflowPunct/>
              <w:autoSpaceDE/>
              <w:autoSpaceDN/>
              <w:adjustRightInd/>
              <w:jc w:val="left"/>
              <w:textAlignment w:val="auto"/>
              <w:rPr>
                <w:rFonts w:ascii="Verdana" w:hAnsi="Verdana" w:cs="Calibri"/>
                <w:szCs w:val="18"/>
                <w:lang w:eastAsia="en-GB"/>
              </w:rPr>
            </w:pPr>
            <w:r w:rsidRPr="002671BE">
              <w:rPr>
                <w:rFonts w:ascii="Verdana" w:hAnsi="Verdana" w:cs="Calibri"/>
                <w:szCs w:val="18"/>
                <w:lang w:eastAsia="en-GB"/>
              </w:rPr>
              <w:t>Net interest</w:t>
            </w:r>
          </w:p>
        </w:tc>
        <w:tc>
          <w:tcPr>
            <w:tcW w:w="1127" w:type="dxa"/>
            <w:tcBorders>
              <w:top w:val="nil"/>
              <w:left w:val="nil"/>
              <w:bottom w:val="nil"/>
              <w:right w:val="nil"/>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c>
          <w:tcPr>
            <w:tcW w:w="1237" w:type="dxa"/>
            <w:tcBorders>
              <w:top w:val="nil"/>
              <w:left w:val="nil"/>
              <w:bottom w:val="nil"/>
              <w:right w:val="nil"/>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c>
          <w:tcPr>
            <w:tcW w:w="1580" w:type="dxa"/>
            <w:tcBorders>
              <w:top w:val="nil"/>
              <w:left w:val="nil"/>
              <w:bottom w:val="nil"/>
              <w:right w:val="single" w:color="auto" w:sz="4" w:space="0"/>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r>
      <w:tr w:rsidRPr="002671BE" w:rsidR="00535C32" w:rsidTr="00FA64BE">
        <w:trPr>
          <w:trHeight w:val="225"/>
        </w:trPr>
        <w:tc>
          <w:tcPr>
            <w:tcW w:w="5282" w:type="dxa"/>
            <w:tcBorders>
              <w:top w:val="nil"/>
              <w:left w:val="single" w:color="auto" w:sz="4" w:space="0"/>
              <w:bottom w:val="nil"/>
              <w:right w:val="nil"/>
            </w:tcBorders>
            <w:shd w:val="clear" w:color="000000" w:fill="D9D9D9"/>
            <w:noWrap/>
            <w:vAlign w:val="bottom"/>
            <w:hideMark/>
          </w:tcPr>
          <w:p w:rsidRPr="002671BE" w:rsidR="00535C32" w:rsidP="00FA64BE" w:rsidRDefault="00535C32">
            <w:pPr>
              <w:overflowPunct/>
              <w:autoSpaceDE/>
              <w:autoSpaceDN/>
              <w:adjustRightInd/>
              <w:ind w:firstLine="180" w:firstLineChars="100"/>
              <w:jc w:val="left"/>
              <w:textAlignment w:val="auto"/>
              <w:rPr>
                <w:rFonts w:ascii="Verdana" w:hAnsi="Verdana" w:cs="Calibri"/>
                <w:szCs w:val="18"/>
                <w:lang w:eastAsia="en-GB"/>
              </w:rPr>
            </w:pPr>
            <w:r w:rsidRPr="002671BE">
              <w:rPr>
                <w:rFonts w:ascii="Verdana" w:hAnsi="Verdana" w:cs="Calibri"/>
                <w:szCs w:val="18"/>
                <w:lang w:eastAsia="en-GB"/>
              </w:rPr>
              <w:t>Interest income on plan assets</w:t>
            </w:r>
          </w:p>
        </w:tc>
        <w:tc>
          <w:tcPr>
            <w:tcW w:w="1127" w:type="dxa"/>
            <w:tcBorders>
              <w:top w:val="nil"/>
              <w:left w:val="nil"/>
              <w:bottom w:val="nil"/>
              <w:right w:val="nil"/>
            </w:tcBorders>
            <w:shd w:val="clear" w:color="000000" w:fill="D9D9D9"/>
            <w:noWrap/>
            <w:vAlign w:val="bottom"/>
            <w:hideMark/>
          </w:tcPr>
          <w:p w:rsidRPr="002671BE" w:rsidR="00535C32" w:rsidP="00657B3F" w:rsidRDefault="00657B3F">
            <w:pPr>
              <w:overflowPunct/>
              <w:autoSpaceDE/>
              <w:autoSpaceDN/>
              <w:adjustRightInd/>
              <w:jc w:val="right"/>
              <w:textAlignment w:val="auto"/>
              <w:rPr>
                <w:rFonts w:ascii="Verdana" w:hAnsi="Verdana" w:cs="Calibri"/>
                <w:szCs w:val="18"/>
                <w:lang w:eastAsia="en-GB"/>
              </w:rPr>
            </w:pPr>
            <w:r>
              <w:rPr>
                <w:rFonts w:ascii="Verdana" w:hAnsi="Verdana" w:cs="Calibri"/>
                <w:szCs w:val="18"/>
                <w:lang w:eastAsia="en-GB"/>
              </w:rPr>
              <w:t>2,</w:t>
            </w:r>
            <w:r w:rsidRPr="002671BE" w:rsidR="00535C32">
              <w:rPr>
                <w:rFonts w:ascii="Verdana" w:hAnsi="Verdana" w:cs="Calibri"/>
                <w:szCs w:val="18"/>
                <w:lang w:eastAsia="en-GB"/>
              </w:rPr>
              <w:t>9</w:t>
            </w:r>
            <w:r>
              <w:rPr>
                <w:rFonts w:ascii="Verdana" w:hAnsi="Verdana" w:cs="Calibri"/>
                <w:szCs w:val="18"/>
                <w:lang w:eastAsia="en-GB"/>
              </w:rPr>
              <w:t>22</w:t>
            </w:r>
          </w:p>
        </w:tc>
        <w:tc>
          <w:tcPr>
            <w:tcW w:w="1237" w:type="dxa"/>
            <w:tcBorders>
              <w:top w:val="nil"/>
              <w:left w:val="nil"/>
              <w:bottom w:val="nil"/>
              <w:right w:val="nil"/>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c>
          <w:tcPr>
            <w:tcW w:w="1580" w:type="dxa"/>
            <w:tcBorders>
              <w:top w:val="nil"/>
              <w:left w:val="nil"/>
              <w:bottom w:val="nil"/>
              <w:right w:val="single" w:color="auto" w:sz="4" w:space="0"/>
            </w:tcBorders>
            <w:shd w:val="clear" w:color="000000" w:fill="D9D9D9"/>
            <w:noWrap/>
            <w:vAlign w:val="bottom"/>
            <w:hideMark/>
          </w:tcPr>
          <w:p w:rsidRPr="002671BE" w:rsidR="00535C32" w:rsidP="00657B3F" w:rsidRDefault="00657B3F">
            <w:pPr>
              <w:overflowPunct/>
              <w:autoSpaceDE/>
              <w:autoSpaceDN/>
              <w:adjustRightInd/>
              <w:jc w:val="right"/>
              <w:textAlignment w:val="auto"/>
              <w:rPr>
                <w:rFonts w:ascii="Verdana" w:hAnsi="Verdana" w:cs="Calibri"/>
                <w:szCs w:val="18"/>
                <w:lang w:eastAsia="en-GB"/>
              </w:rPr>
            </w:pPr>
            <w:r>
              <w:rPr>
                <w:rFonts w:ascii="Verdana" w:hAnsi="Verdana" w:cs="Calibri"/>
                <w:szCs w:val="18"/>
                <w:lang w:eastAsia="en-GB"/>
              </w:rPr>
              <w:t>2,</w:t>
            </w:r>
            <w:r w:rsidRPr="002671BE" w:rsidR="00535C32">
              <w:rPr>
                <w:rFonts w:ascii="Verdana" w:hAnsi="Verdana" w:cs="Calibri"/>
                <w:szCs w:val="18"/>
                <w:lang w:eastAsia="en-GB"/>
              </w:rPr>
              <w:t>9</w:t>
            </w:r>
            <w:r>
              <w:rPr>
                <w:rFonts w:ascii="Verdana" w:hAnsi="Verdana" w:cs="Calibri"/>
                <w:szCs w:val="18"/>
                <w:lang w:eastAsia="en-GB"/>
              </w:rPr>
              <w:t>22</w:t>
            </w:r>
          </w:p>
        </w:tc>
      </w:tr>
      <w:tr w:rsidRPr="002671BE" w:rsidR="00535C32" w:rsidTr="00FA64BE">
        <w:trPr>
          <w:trHeight w:val="225"/>
        </w:trPr>
        <w:tc>
          <w:tcPr>
            <w:tcW w:w="5282" w:type="dxa"/>
            <w:tcBorders>
              <w:top w:val="nil"/>
              <w:left w:val="single" w:color="auto" w:sz="4" w:space="0"/>
              <w:bottom w:val="nil"/>
              <w:right w:val="nil"/>
            </w:tcBorders>
            <w:shd w:val="clear" w:color="000000" w:fill="D9D9D9"/>
            <w:noWrap/>
            <w:hideMark/>
          </w:tcPr>
          <w:p w:rsidRPr="002671BE" w:rsidR="00535C32" w:rsidP="00FA64BE" w:rsidRDefault="00535C32">
            <w:pPr>
              <w:overflowPunct/>
              <w:autoSpaceDE/>
              <w:autoSpaceDN/>
              <w:adjustRightInd/>
              <w:ind w:firstLine="180" w:firstLineChars="100"/>
              <w:jc w:val="left"/>
              <w:textAlignment w:val="auto"/>
              <w:rPr>
                <w:rFonts w:ascii="Verdana" w:hAnsi="Verdana" w:cs="Calibri"/>
                <w:szCs w:val="18"/>
                <w:lang w:eastAsia="en-GB"/>
              </w:rPr>
            </w:pPr>
            <w:r w:rsidRPr="002671BE">
              <w:rPr>
                <w:rFonts w:ascii="Verdana" w:hAnsi="Verdana" w:cs="Calibri"/>
                <w:szCs w:val="18"/>
                <w:lang w:eastAsia="en-GB"/>
              </w:rPr>
              <w:t>Interest cost on defined benefit obligations</w:t>
            </w:r>
          </w:p>
        </w:tc>
        <w:tc>
          <w:tcPr>
            <w:tcW w:w="1127" w:type="dxa"/>
            <w:tcBorders>
              <w:top w:val="nil"/>
              <w:left w:val="nil"/>
              <w:bottom w:val="nil"/>
              <w:right w:val="nil"/>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c>
          <w:tcPr>
            <w:tcW w:w="1237" w:type="dxa"/>
            <w:tcBorders>
              <w:top w:val="nil"/>
              <w:left w:val="nil"/>
              <w:bottom w:val="nil"/>
              <w:right w:val="nil"/>
            </w:tcBorders>
            <w:shd w:val="clear" w:color="000000" w:fill="D9D9D9"/>
            <w:noWrap/>
            <w:vAlign w:val="bottom"/>
            <w:hideMark/>
          </w:tcPr>
          <w:p w:rsidRPr="002671BE" w:rsidR="00535C32" w:rsidP="00657B3F" w:rsidRDefault="00657B3F">
            <w:pPr>
              <w:overflowPunct/>
              <w:autoSpaceDE/>
              <w:autoSpaceDN/>
              <w:adjustRightInd/>
              <w:jc w:val="right"/>
              <w:textAlignment w:val="auto"/>
              <w:rPr>
                <w:rFonts w:ascii="Verdana" w:hAnsi="Verdana" w:cs="Calibri"/>
                <w:szCs w:val="18"/>
                <w:lang w:eastAsia="en-GB"/>
              </w:rPr>
            </w:pPr>
            <w:r>
              <w:rPr>
                <w:rFonts w:ascii="Verdana" w:hAnsi="Verdana" w:cs="Calibri"/>
                <w:szCs w:val="18"/>
                <w:lang w:eastAsia="en-GB"/>
              </w:rPr>
              <w:t>3</w:t>
            </w:r>
            <w:r w:rsidRPr="002671BE" w:rsidR="00535C32">
              <w:rPr>
                <w:rFonts w:ascii="Verdana" w:hAnsi="Verdana" w:cs="Calibri"/>
                <w:szCs w:val="18"/>
                <w:lang w:eastAsia="en-GB"/>
              </w:rPr>
              <w:t>,</w:t>
            </w:r>
            <w:r>
              <w:rPr>
                <w:rFonts w:ascii="Verdana" w:hAnsi="Verdana" w:cs="Calibri"/>
                <w:szCs w:val="18"/>
                <w:lang w:eastAsia="en-GB"/>
              </w:rPr>
              <w:t>025</w:t>
            </w:r>
          </w:p>
        </w:tc>
        <w:tc>
          <w:tcPr>
            <w:tcW w:w="1580" w:type="dxa"/>
            <w:tcBorders>
              <w:top w:val="nil"/>
              <w:left w:val="nil"/>
              <w:bottom w:val="nil"/>
              <w:right w:val="single" w:color="auto" w:sz="4" w:space="0"/>
            </w:tcBorders>
            <w:shd w:val="clear" w:color="000000" w:fill="D9D9D9"/>
            <w:noWrap/>
            <w:vAlign w:val="bottom"/>
            <w:hideMark/>
          </w:tcPr>
          <w:p w:rsidRPr="002671BE" w:rsidR="00535C32" w:rsidP="00657B3F"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w:t>
            </w:r>
            <w:r w:rsidR="00657B3F">
              <w:rPr>
                <w:rFonts w:ascii="Verdana" w:hAnsi="Verdana" w:cs="Calibri"/>
                <w:szCs w:val="18"/>
                <w:lang w:eastAsia="en-GB"/>
              </w:rPr>
              <w:t>3,025</w:t>
            </w:r>
            <w:r w:rsidRPr="002671BE">
              <w:rPr>
                <w:rFonts w:ascii="Verdana" w:hAnsi="Verdana" w:cs="Calibri"/>
                <w:szCs w:val="18"/>
                <w:lang w:eastAsia="en-GB"/>
              </w:rPr>
              <w:t>)</w:t>
            </w:r>
          </w:p>
        </w:tc>
      </w:tr>
      <w:tr w:rsidRPr="002671BE" w:rsidR="00535C32" w:rsidTr="00FA64BE">
        <w:trPr>
          <w:trHeight w:val="225"/>
        </w:trPr>
        <w:tc>
          <w:tcPr>
            <w:tcW w:w="5282" w:type="dxa"/>
            <w:tcBorders>
              <w:top w:val="nil"/>
              <w:left w:val="single" w:color="auto" w:sz="4" w:space="0"/>
              <w:bottom w:val="nil"/>
              <w:right w:val="nil"/>
            </w:tcBorders>
            <w:shd w:val="clear" w:color="000000" w:fill="D9D9D9"/>
            <w:noWrap/>
            <w:hideMark/>
          </w:tcPr>
          <w:p w:rsidRPr="002671BE" w:rsidR="00535C32" w:rsidP="00FA64BE" w:rsidRDefault="00535C32">
            <w:pPr>
              <w:overflowPunct/>
              <w:autoSpaceDE/>
              <w:autoSpaceDN/>
              <w:adjustRightInd/>
              <w:ind w:firstLine="180" w:firstLineChars="100"/>
              <w:jc w:val="left"/>
              <w:textAlignment w:val="auto"/>
              <w:rPr>
                <w:rFonts w:ascii="Verdana" w:hAnsi="Verdana" w:cs="Calibri"/>
                <w:szCs w:val="18"/>
                <w:lang w:eastAsia="en-GB"/>
              </w:rPr>
            </w:pPr>
            <w:r w:rsidRPr="002671BE">
              <w:rPr>
                <w:rFonts w:ascii="Verdana" w:hAnsi="Verdana" w:cs="Calibri"/>
                <w:szCs w:val="18"/>
                <w:lang w:eastAsia="en-GB"/>
              </w:rPr>
              <w:t>Impact of asset ceiling on net interest</w:t>
            </w:r>
          </w:p>
        </w:tc>
        <w:tc>
          <w:tcPr>
            <w:tcW w:w="1127" w:type="dxa"/>
            <w:tcBorders>
              <w:top w:val="nil"/>
              <w:left w:val="nil"/>
              <w:bottom w:val="nil"/>
              <w:right w:val="nil"/>
            </w:tcBorders>
            <w:shd w:val="clear" w:color="000000" w:fill="D9D9D9"/>
            <w:noWrap/>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c>
          <w:tcPr>
            <w:tcW w:w="1237" w:type="dxa"/>
            <w:tcBorders>
              <w:top w:val="nil"/>
              <w:left w:val="nil"/>
              <w:bottom w:val="nil"/>
              <w:right w:val="nil"/>
            </w:tcBorders>
            <w:shd w:val="clear" w:color="000000" w:fill="D9D9D9"/>
            <w:noWrap/>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c>
          <w:tcPr>
            <w:tcW w:w="1580" w:type="dxa"/>
            <w:tcBorders>
              <w:top w:val="nil"/>
              <w:left w:val="nil"/>
              <w:bottom w:val="nil"/>
              <w:right w:val="single" w:color="auto" w:sz="4" w:space="0"/>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r>
      <w:tr w:rsidRPr="002671BE" w:rsidR="00535C32" w:rsidTr="00FA64BE">
        <w:trPr>
          <w:trHeight w:val="225"/>
        </w:trPr>
        <w:tc>
          <w:tcPr>
            <w:tcW w:w="5282" w:type="dxa"/>
            <w:tcBorders>
              <w:top w:val="single" w:color="auto" w:sz="4" w:space="0"/>
              <w:left w:val="single" w:color="auto" w:sz="4" w:space="0"/>
              <w:bottom w:val="nil"/>
              <w:right w:val="nil"/>
            </w:tcBorders>
            <w:shd w:val="clear" w:color="000000" w:fill="D9D9D9"/>
            <w:noWrap/>
            <w:hideMark/>
          </w:tcPr>
          <w:p w:rsidRPr="002671BE" w:rsidR="00535C32" w:rsidP="00FA64BE" w:rsidRDefault="00535C32">
            <w:pPr>
              <w:overflowPunct/>
              <w:autoSpaceDE/>
              <w:autoSpaceDN/>
              <w:adjustRightInd/>
              <w:jc w:val="left"/>
              <w:textAlignment w:val="auto"/>
              <w:rPr>
                <w:rFonts w:ascii="Verdana" w:hAnsi="Verdana" w:cs="Calibri"/>
                <w:szCs w:val="18"/>
                <w:lang w:eastAsia="en-GB"/>
              </w:rPr>
            </w:pPr>
            <w:r w:rsidRPr="002671BE">
              <w:rPr>
                <w:rFonts w:ascii="Verdana" w:hAnsi="Verdana" w:cs="Calibri"/>
                <w:szCs w:val="18"/>
                <w:lang w:eastAsia="en-GB"/>
              </w:rPr>
              <w:t>Total net interest</w:t>
            </w:r>
          </w:p>
        </w:tc>
        <w:tc>
          <w:tcPr>
            <w:tcW w:w="1127" w:type="dxa"/>
            <w:tcBorders>
              <w:top w:val="single" w:color="auto" w:sz="4" w:space="0"/>
              <w:left w:val="nil"/>
              <w:bottom w:val="nil"/>
              <w:right w:val="nil"/>
            </w:tcBorders>
            <w:shd w:val="clear" w:color="000000" w:fill="D9D9D9"/>
            <w:noWrap/>
            <w:vAlign w:val="bottom"/>
            <w:hideMark/>
          </w:tcPr>
          <w:p w:rsidRPr="002671BE" w:rsidR="00535C32" w:rsidP="00657B3F"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2,</w:t>
            </w:r>
            <w:r w:rsidR="00657B3F">
              <w:rPr>
                <w:rFonts w:ascii="Verdana" w:hAnsi="Verdana" w:cs="Calibri"/>
                <w:szCs w:val="18"/>
                <w:lang w:eastAsia="en-GB"/>
              </w:rPr>
              <w:t>922</w:t>
            </w:r>
          </w:p>
        </w:tc>
        <w:tc>
          <w:tcPr>
            <w:tcW w:w="1237" w:type="dxa"/>
            <w:tcBorders>
              <w:top w:val="single" w:color="auto" w:sz="4" w:space="0"/>
              <w:left w:val="nil"/>
              <w:bottom w:val="nil"/>
              <w:right w:val="nil"/>
            </w:tcBorders>
            <w:shd w:val="clear" w:color="000000" w:fill="D9D9D9"/>
            <w:noWrap/>
            <w:vAlign w:val="bottom"/>
            <w:hideMark/>
          </w:tcPr>
          <w:p w:rsidRPr="002671BE" w:rsidR="00535C32" w:rsidP="00C92621" w:rsidRDefault="00657B3F">
            <w:pPr>
              <w:overflowPunct/>
              <w:autoSpaceDE/>
              <w:autoSpaceDN/>
              <w:adjustRightInd/>
              <w:jc w:val="right"/>
              <w:textAlignment w:val="auto"/>
              <w:rPr>
                <w:rFonts w:ascii="Verdana" w:hAnsi="Verdana" w:cs="Calibri"/>
                <w:szCs w:val="18"/>
                <w:lang w:eastAsia="en-GB"/>
              </w:rPr>
            </w:pPr>
            <w:r>
              <w:rPr>
                <w:rFonts w:ascii="Verdana" w:hAnsi="Verdana" w:cs="Calibri"/>
                <w:szCs w:val="18"/>
                <w:lang w:eastAsia="en-GB"/>
              </w:rPr>
              <w:t>3,025</w:t>
            </w:r>
          </w:p>
        </w:tc>
        <w:tc>
          <w:tcPr>
            <w:tcW w:w="1580" w:type="dxa"/>
            <w:tcBorders>
              <w:top w:val="single" w:color="auto" w:sz="4" w:space="0"/>
              <w:left w:val="nil"/>
              <w:bottom w:val="nil"/>
              <w:right w:val="single" w:color="auto" w:sz="4" w:space="0"/>
            </w:tcBorders>
            <w:shd w:val="clear" w:color="000000" w:fill="D9D9D9"/>
            <w:noWrap/>
            <w:vAlign w:val="bottom"/>
            <w:hideMark/>
          </w:tcPr>
          <w:p w:rsidRPr="002671BE" w:rsidR="00535C32" w:rsidP="00657B3F"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w:t>
            </w:r>
            <w:r w:rsidR="00657B3F">
              <w:rPr>
                <w:rFonts w:ascii="Verdana" w:hAnsi="Verdana" w:cs="Calibri"/>
                <w:szCs w:val="18"/>
                <w:lang w:eastAsia="en-GB"/>
              </w:rPr>
              <w:t>10</w:t>
            </w:r>
            <w:r w:rsidRPr="002671BE">
              <w:rPr>
                <w:rFonts w:ascii="Verdana" w:hAnsi="Verdana" w:cs="Calibri"/>
                <w:szCs w:val="18"/>
                <w:lang w:eastAsia="en-GB"/>
              </w:rPr>
              <w:t>3)</w:t>
            </w:r>
          </w:p>
        </w:tc>
      </w:tr>
      <w:tr w:rsidRPr="002671BE" w:rsidR="00535C32" w:rsidTr="00FA64BE">
        <w:trPr>
          <w:trHeight w:val="225"/>
        </w:trPr>
        <w:tc>
          <w:tcPr>
            <w:tcW w:w="5282" w:type="dxa"/>
            <w:tcBorders>
              <w:top w:val="single" w:color="auto" w:sz="4" w:space="0"/>
              <w:left w:val="single" w:color="auto" w:sz="4" w:space="0"/>
              <w:bottom w:val="single" w:color="auto" w:sz="4" w:space="0"/>
              <w:right w:val="nil"/>
            </w:tcBorders>
            <w:shd w:val="clear" w:color="000000" w:fill="D9D9D9"/>
            <w:noWrap/>
            <w:hideMark/>
          </w:tcPr>
          <w:p w:rsidRPr="002671BE" w:rsidR="00535C32" w:rsidP="00FA64BE" w:rsidRDefault="00535C32">
            <w:pPr>
              <w:overflowPunct/>
              <w:autoSpaceDE/>
              <w:autoSpaceDN/>
              <w:adjustRightInd/>
              <w:jc w:val="left"/>
              <w:textAlignment w:val="auto"/>
              <w:rPr>
                <w:rFonts w:ascii="Verdana" w:hAnsi="Verdana" w:cs="Calibri"/>
                <w:szCs w:val="18"/>
                <w:lang w:eastAsia="en-GB"/>
              </w:rPr>
            </w:pPr>
            <w:r w:rsidRPr="002671BE">
              <w:rPr>
                <w:rFonts w:ascii="Verdana" w:hAnsi="Verdana" w:cs="Calibri"/>
                <w:szCs w:val="18"/>
                <w:lang w:eastAsia="en-GB"/>
              </w:rPr>
              <w:t>Total defined benefit cost recognised in Profit/(Loss)</w:t>
            </w:r>
          </w:p>
        </w:tc>
        <w:tc>
          <w:tcPr>
            <w:tcW w:w="1127" w:type="dxa"/>
            <w:tcBorders>
              <w:top w:val="single" w:color="auto" w:sz="4" w:space="0"/>
              <w:left w:val="nil"/>
              <w:bottom w:val="single" w:color="auto" w:sz="4" w:space="0"/>
              <w:right w:val="nil"/>
            </w:tcBorders>
            <w:shd w:val="clear" w:color="000000" w:fill="D9D9D9"/>
            <w:noWrap/>
            <w:vAlign w:val="bottom"/>
            <w:hideMark/>
          </w:tcPr>
          <w:p w:rsidRPr="002671BE" w:rsidR="00535C32" w:rsidP="00657B3F" w:rsidRDefault="00657B3F">
            <w:pPr>
              <w:overflowPunct/>
              <w:autoSpaceDE/>
              <w:autoSpaceDN/>
              <w:adjustRightInd/>
              <w:jc w:val="right"/>
              <w:textAlignment w:val="auto"/>
              <w:rPr>
                <w:rFonts w:ascii="Verdana" w:hAnsi="Verdana" w:cs="Calibri"/>
                <w:szCs w:val="18"/>
                <w:lang w:eastAsia="en-GB"/>
              </w:rPr>
            </w:pPr>
            <w:r>
              <w:rPr>
                <w:rFonts w:ascii="Verdana" w:hAnsi="Verdana" w:cs="Calibri"/>
                <w:szCs w:val="18"/>
                <w:lang w:eastAsia="en-GB"/>
              </w:rPr>
              <w:t>2,</w:t>
            </w:r>
            <w:r w:rsidRPr="002671BE" w:rsidR="00535C32">
              <w:rPr>
                <w:rFonts w:ascii="Verdana" w:hAnsi="Verdana" w:cs="Calibri"/>
                <w:szCs w:val="18"/>
                <w:lang w:eastAsia="en-GB"/>
              </w:rPr>
              <w:t>9</w:t>
            </w:r>
            <w:r>
              <w:rPr>
                <w:rFonts w:ascii="Verdana" w:hAnsi="Verdana" w:cs="Calibri"/>
                <w:szCs w:val="18"/>
                <w:lang w:eastAsia="en-GB"/>
              </w:rPr>
              <w:t>22</w:t>
            </w:r>
          </w:p>
        </w:tc>
        <w:tc>
          <w:tcPr>
            <w:tcW w:w="1237" w:type="dxa"/>
            <w:tcBorders>
              <w:top w:val="single" w:color="auto" w:sz="4" w:space="0"/>
              <w:left w:val="nil"/>
              <w:bottom w:val="single" w:color="auto" w:sz="4" w:space="0"/>
              <w:right w:val="nil"/>
            </w:tcBorders>
            <w:shd w:val="clear" w:color="000000" w:fill="D9D9D9"/>
            <w:noWrap/>
            <w:vAlign w:val="bottom"/>
            <w:hideMark/>
          </w:tcPr>
          <w:p w:rsidRPr="002671BE" w:rsidR="00535C32" w:rsidP="00657B3F"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6,</w:t>
            </w:r>
            <w:r w:rsidR="00657B3F">
              <w:rPr>
                <w:rFonts w:ascii="Verdana" w:hAnsi="Verdana" w:cs="Calibri"/>
                <w:szCs w:val="18"/>
                <w:lang w:eastAsia="en-GB"/>
              </w:rPr>
              <w:t>38</w:t>
            </w:r>
            <w:r w:rsidRPr="002671BE">
              <w:rPr>
                <w:rFonts w:ascii="Verdana" w:hAnsi="Verdana" w:cs="Calibri"/>
                <w:szCs w:val="18"/>
                <w:lang w:eastAsia="en-GB"/>
              </w:rPr>
              <w:t>5</w:t>
            </w:r>
          </w:p>
        </w:tc>
        <w:tc>
          <w:tcPr>
            <w:tcW w:w="1580" w:type="dxa"/>
            <w:tcBorders>
              <w:top w:val="single" w:color="auto" w:sz="4" w:space="0"/>
              <w:left w:val="nil"/>
              <w:bottom w:val="single" w:color="auto" w:sz="4" w:space="0"/>
              <w:right w:val="single" w:color="auto" w:sz="4" w:space="0"/>
            </w:tcBorders>
            <w:shd w:val="clear" w:color="000000" w:fill="D9D9D9"/>
            <w:noWrap/>
            <w:vAlign w:val="bottom"/>
            <w:hideMark/>
          </w:tcPr>
          <w:p w:rsidRPr="002671BE" w:rsidR="00535C32" w:rsidP="00657B3F"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(3,</w:t>
            </w:r>
            <w:r w:rsidR="00657B3F">
              <w:rPr>
                <w:rFonts w:ascii="Verdana" w:hAnsi="Verdana" w:cs="Calibri"/>
                <w:szCs w:val="18"/>
                <w:lang w:eastAsia="en-GB"/>
              </w:rPr>
              <w:t>463</w:t>
            </w:r>
            <w:r w:rsidRPr="002671BE">
              <w:rPr>
                <w:rFonts w:ascii="Verdana" w:hAnsi="Verdana" w:cs="Calibri"/>
                <w:szCs w:val="18"/>
                <w:lang w:eastAsia="en-GB"/>
              </w:rPr>
              <w:t>)</w:t>
            </w:r>
          </w:p>
        </w:tc>
      </w:tr>
      <w:tr w:rsidRPr="002671BE" w:rsidR="00535C32" w:rsidTr="00FA64BE">
        <w:trPr>
          <w:trHeight w:val="225"/>
        </w:trPr>
        <w:tc>
          <w:tcPr>
            <w:tcW w:w="5282" w:type="dxa"/>
            <w:tcBorders>
              <w:top w:val="nil"/>
              <w:left w:val="single" w:color="auto" w:sz="4" w:space="0"/>
              <w:bottom w:val="nil"/>
              <w:right w:val="nil"/>
            </w:tcBorders>
            <w:shd w:val="clear" w:color="000000" w:fill="D9D9D9"/>
            <w:noWrap/>
            <w:hideMark/>
          </w:tcPr>
          <w:p w:rsidRPr="002671BE" w:rsidR="00535C32" w:rsidP="00FA64BE" w:rsidRDefault="00535C32">
            <w:pPr>
              <w:overflowPunct/>
              <w:autoSpaceDE/>
              <w:autoSpaceDN/>
              <w:adjustRightInd/>
              <w:jc w:val="left"/>
              <w:textAlignment w:val="auto"/>
              <w:rPr>
                <w:rFonts w:ascii="Verdana" w:hAnsi="Verdana" w:cs="Calibri"/>
                <w:szCs w:val="18"/>
                <w:lang w:eastAsia="en-GB"/>
              </w:rPr>
            </w:pPr>
            <w:r w:rsidRPr="002671BE">
              <w:rPr>
                <w:rFonts w:ascii="Verdana" w:hAnsi="Verdana" w:cs="Calibri"/>
                <w:szCs w:val="18"/>
                <w:lang w:eastAsia="en-GB"/>
              </w:rPr>
              <w:t>Cashflows</w:t>
            </w:r>
          </w:p>
        </w:tc>
        <w:tc>
          <w:tcPr>
            <w:tcW w:w="1127" w:type="dxa"/>
            <w:tcBorders>
              <w:top w:val="nil"/>
              <w:left w:val="nil"/>
              <w:bottom w:val="nil"/>
              <w:right w:val="nil"/>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c>
          <w:tcPr>
            <w:tcW w:w="1237" w:type="dxa"/>
            <w:tcBorders>
              <w:top w:val="nil"/>
              <w:left w:val="nil"/>
              <w:bottom w:val="nil"/>
              <w:right w:val="nil"/>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c>
          <w:tcPr>
            <w:tcW w:w="1580" w:type="dxa"/>
            <w:tcBorders>
              <w:top w:val="nil"/>
              <w:left w:val="nil"/>
              <w:bottom w:val="nil"/>
              <w:right w:val="single" w:color="auto" w:sz="4" w:space="0"/>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r>
      <w:tr w:rsidRPr="002671BE" w:rsidR="00535C32" w:rsidTr="00FA64BE">
        <w:trPr>
          <w:trHeight w:val="225"/>
        </w:trPr>
        <w:tc>
          <w:tcPr>
            <w:tcW w:w="5282" w:type="dxa"/>
            <w:tcBorders>
              <w:top w:val="nil"/>
              <w:left w:val="single" w:color="auto" w:sz="4" w:space="0"/>
              <w:bottom w:val="nil"/>
              <w:right w:val="nil"/>
            </w:tcBorders>
            <w:shd w:val="clear" w:color="000000" w:fill="D9D9D9"/>
            <w:noWrap/>
            <w:hideMark/>
          </w:tcPr>
          <w:p w:rsidRPr="002671BE" w:rsidR="00535C32" w:rsidP="00FA64BE" w:rsidRDefault="00535C32">
            <w:pPr>
              <w:overflowPunct/>
              <w:autoSpaceDE/>
              <w:autoSpaceDN/>
              <w:adjustRightInd/>
              <w:ind w:firstLine="180" w:firstLineChars="100"/>
              <w:jc w:val="left"/>
              <w:textAlignment w:val="auto"/>
              <w:rPr>
                <w:rFonts w:ascii="Verdana" w:hAnsi="Verdana" w:cs="Calibri"/>
                <w:szCs w:val="18"/>
                <w:lang w:eastAsia="en-GB"/>
              </w:rPr>
            </w:pPr>
            <w:r w:rsidRPr="002671BE">
              <w:rPr>
                <w:rFonts w:ascii="Verdana" w:hAnsi="Verdana" w:cs="Calibri"/>
                <w:szCs w:val="18"/>
                <w:lang w:eastAsia="en-GB"/>
              </w:rPr>
              <w:t>Plan participants' contributions</w:t>
            </w:r>
          </w:p>
        </w:tc>
        <w:tc>
          <w:tcPr>
            <w:tcW w:w="1127" w:type="dxa"/>
            <w:tcBorders>
              <w:top w:val="nil"/>
              <w:left w:val="nil"/>
              <w:bottom w:val="nil"/>
              <w:right w:val="nil"/>
            </w:tcBorders>
            <w:shd w:val="clear" w:color="000000" w:fill="D9D9D9"/>
            <w:noWrap/>
            <w:vAlign w:val="bottom"/>
            <w:hideMark/>
          </w:tcPr>
          <w:p w:rsidRPr="002671BE" w:rsidR="00535C32" w:rsidP="00657B3F"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7</w:t>
            </w:r>
            <w:r w:rsidR="00657B3F">
              <w:rPr>
                <w:rFonts w:ascii="Verdana" w:hAnsi="Verdana" w:cs="Calibri"/>
                <w:szCs w:val="18"/>
                <w:lang w:eastAsia="en-GB"/>
              </w:rPr>
              <w:t>7</w:t>
            </w:r>
            <w:r w:rsidRPr="002671BE">
              <w:rPr>
                <w:rFonts w:ascii="Verdana" w:hAnsi="Verdana" w:cs="Calibri"/>
                <w:szCs w:val="18"/>
                <w:lang w:eastAsia="en-GB"/>
              </w:rPr>
              <w:t>8</w:t>
            </w:r>
          </w:p>
        </w:tc>
        <w:tc>
          <w:tcPr>
            <w:tcW w:w="1237" w:type="dxa"/>
            <w:tcBorders>
              <w:top w:val="nil"/>
              <w:left w:val="nil"/>
              <w:bottom w:val="nil"/>
              <w:right w:val="nil"/>
            </w:tcBorders>
            <w:shd w:val="clear" w:color="000000" w:fill="D9D9D9"/>
            <w:noWrap/>
            <w:vAlign w:val="bottom"/>
            <w:hideMark/>
          </w:tcPr>
          <w:p w:rsidRPr="002671BE" w:rsidR="00535C32" w:rsidP="00657B3F" w:rsidRDefault="00657B3F">
            <w:pPr>
              <w:overflowPunct/>
              <w:autoSpaceDE/>
              <w:autoSpaceDN/>
              <w:adjustRightInd/>
              <w:jc w:val="right"/>
              <w:textAlignment w:val="auto"/>
              <w:rPr>
                <w:rFonts w:ascii="Verdana" w:hAnsi="Verdana" w:cs="Calibri"/>
                <w:szCs w:val="18"/>
                <w:lang w:eastAsia="en-GB"/>
              </w:rPr>
            </w:pPr>
            <w:r>
              <w:rPr>
                <w:rFonts w:ascii="Verdana" w:hAnsi="Verdana" w:cs="Calibri"/>
                <w:szCs w:val="18"/>
                <w:lang w:eastAsia="en-GB"/>
              </w:rPr>
              <w:t>7</w:t>
            </w:r>
            <w:r w:rsidRPr="002671BE" w:rsidR="00535C32">
              <w:rPr>
                <w:rFonts w:ascii="Verdana" w:hAnsi="Verdana" w:cs="Calibri"/>
                <w:szCs w:val="18"/>
                <w:lang w:eastAsia="en-GB"/>
              </w:rPr>
              <w:t>78</w:t>
            </w:r>
          </w:p>
        </w:tc>
        <w:tc>
          <w:tcPr>
            <w:tcW w:w="1580" w:type="dxa"/>
            <w:tcBorders>
              <w:top w:val="nil"/>
              <w:left w:val="nil"/>
              <w:bottom w:val="nil"/>
              <w:right w:val="single" w:color="auto" w:sz="4" w:space="0"/>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r>
      <w:tr w:rsidRPr="002671BE" w:rsidR="00535C32" w:rsidTr="00FA64BE">
        <w:trPr>
          <w:trHeight w:val="225"/>
        </w:trPr>
        <w:tc>
          <w:tcPr>
            <w:tcW w:w="5282" w:type="dxa"/>
            <w:tcBorders>
              <w:top w:val="nil"/>
              <w:left w:val="single" w:color="auto" w:sz="4" w:space="0"/>
              <w:bottom w:val="nil"/>
              <w:right w:val="nil"/>
            </w:tcBorders>
            <w:shd w:val="clear" w:color="000000" w:fill="D9D9D9"/>
            <w:noWrap/>
            <w:hideMark/>
          </w:tcPr>
          <w:p w:rsidRPr="002671BE" w:rsidR="00535C32" w:rsidP="00FA64BE" w:rsidRDefault="00535C32">
            <w:pPr>
              <w:overflowPunct/>
              <w:autoSpaceDE/>
              <w:autoSpaceDN/>
              <w:adjustRightInd/>
              <w:ind w:firstLine="180" w:firstLineChars="100"/>
              <w:jc w:val="left"/>
              <w:textAlignment w:val="auto"/>
              <w:rPr>
                <w:rFonts w:ascii="Verdana" w:hAnsi="Verdana" w:cs="Calibri"/>
                <w:szCs w:val="18"/>
                <w:lang w:eastAsia="en-GB"/>
              </w:rPr>
            </w:pPr>
            <w:r w:rsidRPr="002671BE">
              <w:rPr>
                <w:rFonts w:ascii="Verdana" w:hAnsi="Verdana" w:cs="Calibri"/>
                <w:szCs w:val="18"/>
                <w:lang w:eastAsia="en-GB"/>
              </w:rPr>
              <w:t>Employer contributions</w:t>
            </w:r>
          </w:p>
        </w:tc>
        <w:tc>
          <w:tcPr>
            <w:tcW w:w="1127" w:type="dxa"/>
            <w:tcBorders>
              <w:top w:val="nil"/>
              <w:left w:val="nil"/>
              <w:bottom w:val="nil"/>
              <w:right w:val="nil"/>
            </w:tcBorders>
            <w:shd w:val="clear" w:color="000000" w:fill="D9D9D9"/>
            <w:noWrap/>
            <w:vAlign w:val="bottom"/>
            <w:hideMark/>
          </w:tcPr>
          <w:p w:rsidRPr="002671BE" w:rsidR="00535C32" w:rsidP="00657B3F"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2,5</w:t>
            </w:r>
            <w:r w:rsidR="00657B3F">
              <w:rPr>
                <w:rFonts w:ascii="Verdana" w:hAnsi="Verdana" w:cs="Calibri"/>
                <w:szCs w:val="18"/>
                <w:lang w:eastAsia="en-GB"/>
              </w:rPr>
              <w:t>58</w:t>
            </w:r>
          </w:p>
        </w:tc>
        <w:tc>
          <w:tcPr>
            <w:tcW w:w="1237" w:type="dxa"/>
            <w:tcBorders>
              <w:top w:val="nil"/>
              <w:left w:val="nil"/>
              <w:bottom w:val="nil"/>
              <w:right w:val="nil"/>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c>
          <w:tcPr>
            <w:tcW w:w="1580" w:type="dxa"/>
            <w:tcBorders>
              <w:top w:val="nil"/>
              <w:left w:val="nil"/>
              <w:bottom w:val="nil"/>
              <w:right w:val="single" w:color="auto" w:sz="4" w:space="0"/>
            </w:tcBorders>
            <w:shd w:val="clear" w:color="000000" w:fill="D9D9D9"/>
            <w:noWrap/>
            <w:vAlign w:val="bottom"/>
            <w:hideMark/>
          </w:tcPr>
          <w:p w:rsidRPr="002671BE" w:rsidR="00535C32" w:rsidP="00657B3F"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2,</w:t>
            </w:r>
            <w:r w:rsidR="00657B3F">
              <w:rPr>
                <w:rFonts w:ascii="Verdana" w:hAnsi="Verdana" w:cs="Calibri"/>
                <w:szCs w:val="18"/>
                <w:lang w:eastAsia="en-GB"/>
              </w:rPr>
              <w:t>5</w:t>
            </w:r>
            <w:r w:rsidRPr="002671BE">
              <w:rPr>
                <w:rFonts w:ascii="Verdana" w:hAnsi="Verdana" w:cs="Calibri"/>
                <w:szCs w:val="18"/>
                <w:lang w:eastAsia="en-GB"/>
              </w:rPr>
              <w:t>5</w:t>
            </w:r>
            <w:r w:rsidR="00657B3F">
              <w:rPr>
                <w:rFonts w:ascii="Verdana" w:hAnsi="Verdana" w:cs="Calibri"/>
                <w:szCs w:val="18"/>
                <w:lang w:eastAsia="en-GB"/>
              </w:rPr>
              <w:t>8</w:t>
            </w:r>
          </w:p>
        </w:tc>
      </w:tr>
      <w:tr w:rsidRPr="002671BE" w:rsidR="00535C32" w:rsidTr="00FA64BE">
        <w:trPr>
          <w:trHeight w:val="225"/>
        </w:trPr>
        <w:tc>
          <w:tcPr>
            <w:tcW w:w="5282" w:type="dxa"/>
            <w:tcBorders>
              <w:top w:val="nil"/>
              <w:left w:val="single" w:color="auto" w:sz="4" w:space="0"/>
              <w:bottom w:val="nil"/>
              <w:right w:val="nil"/>
            </w:tcBorders>
            <w:shd w:val="clear" w:color="000000" w:fill="D9D9D9"/>
            <w:noWrap/>
            <w:hideMark/>
          </w:tcPr>
          <w:p w:rsidRPr="002671BE" w:rsidR="00535C32" w:rsidP="00FA64BE" w:rsidRDefault="00535C32">
            <w:pPr>
              <w:overflowPunct/>
              <w:autoSpaceDE/>
              <w:autoSpaceDN/>
              <w:adjustRightInd/>
              <w:ind w:firstLine="180" w:firstLineChars="100"/>
              <w:jc w:val="left"/>
              <w:textAlignment w:val="auto"/>
              <w:rPr>
                <w:rFonts w:ascii="Verdana" w:hAnsi="Verdana" w:cs="Calibri"/>
                <w:szCs w:val="18"/>
                <w:lang w:eastAsia="en-GB"/>
              </w:rPr>
            </w:pPr>
            <w:r w:rsidRPr="002671BE">
              <w:rPr>
                <w:rFonts w:ascii="Verdana" w:hAnsi="Verdana" w:cs="Calibri"/>
                <w:szCs w:val="18"/>
                <w:lang w:eastAsia="en-GB"/>
              </w:rPr>
              <w:t>Contributions in respect of unfunded benefits</w:t>
            </w:r>
          </w:p>
        </w:tc>
        <w:tc>
          <w:tcPr>
            <w:tcW w:w="1127" w:type="dxa"/>
            <w:tcBorders>
              <w:top w:val="nil"/>
              <w:left w:val="nil"/>
              <w:bottom w:val="nil"/>
              <w:right w:val="nil"/>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c>
          <w:tcPr>
            <w:tcW w:w="1237" w:type="dxa"/>
            <w:tcBorders>
              <w:top w:val="nil"/>
              <w:left w:val="nil"/>
              <w:bottom w:val="nil"/>
              <w:right w:val="nil"/>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c>
          <w:tcPr>
            <w:tcW w:w="1580" w:type="dxa"/>
            <w:tcBorders>
              <w:top w:val="nil"/>
              <w:left w:val="nil"/>
              <w:bottom w:val="nil"/>
              <w:right w:val="single" w:color="auto" w:sz="4" w:space="0"/>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r>
      <w:tr w:rsidRPr="002671BE" w:rsidR="00535C32" w:rsidTr="00FA64BE">
        <w:trPr>
          <w:trHeight w:val="225"/>
        </w:trPr>
        <w:tc>
          <w:tcPr>
            <w:tcW w:w="5282" w:type="dxa"/>
            <w:tcBorders>
              <w:top w:val="nil"/>
              <w:left w:val="single" w:color="auto" w:sz="4" w:space="0"/>
              <w:bottom w:val="nil"/>
              <w:right w:val="nil"/>
            </w:tcBorders>
            <w:shd w:val="clear" w:color="000000" w:fill="D9D9D9"/>
            <w:noWrap/>
            <w:hideMark/>
          </w:tcPr>
          <w:p w:rsidRPr="002671BE" w:rsidR="00535C32" w:rsidP="00FA64BE" w:rsidRDefault="00535C32">
            <w:pPr>
              <w:overflowPunct/>
              <w:autoSpaceDE/>
              <w:autoSpaceDN/>
              <w:adjustRightInd/>
              <w:ind w:firstLine="180" w:firstLineChars="100"/>
              <w:jc w:val="left"/>
              <w:textAlignment w:val="auto"/>
              <w:rPr>
                <w:rFonts w:ascii="Verdana" w:hAnsi="Verdana" w:cs="Calibri"/>
                <w:szCs w:val="18"/>
                <w:lang w:eastAsia="en-GB"/>
              </w:rPr>
            </w:pPr>
            <w:r w:rsidRPr="002671BE">
              <w:rPr>
                <w:rFonts w:ascii="Verdana" w:hAnsi="Verdana" w:cs="Calibri"/>
                <w:szCs w:val="18"/>
                <w:lang w:eastAsia="en-GB"/>
              </w:rPr>
              <w:t>Benefits paid</w:t>
            </w:r>
          </w:p>
        </w:tc>
        <w:tc>
          <w:tcPr>
            <w:tcW w:w="1127" w:type="dxa"/>
            <w:tcBorders>
              <w:top w:val="nil"/>
              <w:left w:val="nil"/>
              <w:bottom w:val="nil"/>
              <w:right w:val="nil"/>
            </w:tcBorders>
            <w:shd w:val="clear" w:color="000000" w:fill="D9D9D9"/>
            <w:noWrap/>
            <w:vAlign w:val="bottom"/>
            <w:hideMark/>
          </w:tcPr>
          <w:p w:rsidRPr="002671BE" w:rsidR="00535C32" w:rsidP="00657B3F"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w:t>
            </w:r>
            <w:r w:rsidR="00657B3F">
              <w:rPr>
                <w:rFonts w:ascii="Verdana" w:hAnsi="Verdana" w:cs="Calibri"/>
                <w:szCs w:val="18"/>
                <w:lang w:eastAsia="en-GB"/>
              </w:rPr>
              <w:t>1,421</w:t>
            </w:r>
            <w:r w:rsidRPr="002671BE">
              <w:rPr>
                <w:rFonts w:ascii="Verdana" w:hAnsi="Verdana" w:cs="Calibri"/>
                <w:szCs w:val="18"/>
                <w:lang w:eastAsia="en-GB"/>
              </w:rPr>
              <w:t>)</w:t>
            </w:r>
          </w:p>
        </w:tc>
        <w:tc>
          <w:tcPr>
            <w:tcW w:w="1237" w:type="dxa"/>
            <w:tcBorders>
              <w:top w:val="nil"/>
              <w:left w:val="nil"/>
              <w:bottom w:val="nil"/>
              <w:right w:val="nil"/>
            </w:tcBorders>
            <w:shd w:val="clear" w:color="000000" w:fill="D9D9D9"/>
            <w:noWrap/>
            <w:vAlign w:val="bottom"/>
            <w:hideMark/>
          </w:tcPr>
          <w:p w:rsidRPr="002671BE" w:rsidR="00535C32" w:rsidP="00657B3F"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w:t>
            </w:r>
            <w:r w:rsidR="00657B3F">
              <w:rPr>
                <w:rFonts w:ascii="Verdana" w:hAnsi="Verdana" w:cs="Calibri"/>
                <w:szCs w:val="18"/>
                <w:lang w:eastAsia="en-GB"/>
              </w:rPr>
              <w:t>1,42</w:t>
            </w:r>
            <w:r w:rsidRPr="002671BE">
              <w:rPr>
                <w:rFonts w:ascii="Verdana" w:hAnsi="Verdana" w:cs="Calibri"/>
                <w:szCs w:val="18"/>
                <w:lang w:eastAsia="en-GB"/>
              </w:rPr>
              <w:t>1)</w:t>
            </w:r>
          </w:p>
        </w:tc>
        <w:tc>
          <w:tcPr>
            <w:tcW w:w="1580" w:type="dxa"/>
            <w:tcBorders>
              <w:top w:val="nil"/>
              <w:left w:val="nil"/>
              <w:bottom w:val="nil"/>
              <w:right w:val="single" w:color="auto" w:sz="4" w:space="0"/>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r>
      <w:tr w:rsidRPr="002671BE" w:rsidR="00535C32" w:rsidTr="00FA64BE">
        <w:trPr>
          <w:trHeight w:val="225"/>
        </w:trPr>
        <w:tc>
          <w:tcPr>
            <w:tcW w:w="5282" w:type="dxa"/>
            <w:tcBorders>
              <w:top w:val="nil"/>
              <w:left w:val="single" w:color="auto" w:sz="4" w:space="0"/>
              <w:bottom w:val="nil"/>
              <w:right w:val="nil"/>
            </w:tcBorders>
            <w:shd w:val="clear" w:color="000000" w:fill="D9D9D9"/>
            <w:noWrap/>
            <w:hideMark/>
          </w:tcPr>
          <w:p w:rsidRPr="002671BE" w:rsidR="00535C32" w:rsidP="00FA64BE" w:rsidRDefault="00535C32">
            <w:pPr>
              <w:overflowPunct/>
              <w:autoSpaceDE/>
              <w:autoSpaceDN/>
              <w:adjustRightInd/>
              <w:ind w:firstLine="180" w:firstLineChars="100"/>
              <w:jc w:val="left"/>
              <w:textAlignment w:val="auto"/>
              <w:rPr>
                <w:rFonts w:ascii="Verdana" w:hAnsi="Verdana" w:cs="Calibri"/>
                <w:szCs w:val="18"/>
                <w:lang w:eastAsia="en-GB"/>
              </w:rPr>
            </w:pPr>
            <w:r w:rsidRPr="002671BE">
              <w:rPr>
                <w:rFonts w:ascii="Verdana" w:hAnsi="Verdana" w:cs="Calibri"/>
                <w:szCs w:val="18"/>
                <w:lang w:eastAsia="en-GB"/>
              </w:rPr>
              <w:t>Unfunded benefits paid</w:t>
            </w:r>
          </w:p>
        </w:tc>
        <w:tc>
          <w:tcPr>
            <w:tcW w:w="1127" w:type="dxa"/>
            <w:tcBorders>
              <w:top w:val="nil"/>
              <w:left w:val="nil"/>
              <w:bottom w:val="nil"/>
              <w:right w:val="nil"/>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c>
          <w:tcPr>
            <w:tcW w:w="1237" w:type="dxa"/>
            <w:tcBorders>
              <w:top w:val="nil"/>
              <w:left w:val="nil"/>
              <w:bottom w:val="nil"/>
              <w:right w:val="nil"/>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c>
          <w:tcPr>
            <w:tcW w:w="1580" w:type="dxa"/>
            <w:tcBorders>
              <w:top w:val="nil"/>
              <w:left w:val="nil"/>
              <w:bottom w:val="nil"/>
              <w:right w:val="single" w:color="auto" w:sz="4" w:space="0"/>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r>
      <w:tr w:rsidRPr="002671BE" w:rsidR="00535C32" w:rsidTr="00FA64BE">
        <w:trPr>
          <w:trHeight w:val="225"/>
        </w:trPr>
        <w:tc>
          <w:tcPr>
            <w:tcW w:w="5282" w:type="dxa"/>
            <w:tcBorders>
              <w:top w:val="nil"/>
              <w:left w:val="single" w:color="auto" w:sz="4" w:space="0"/>
              <w:bottom w:val="nil"/>
              <w:right w:val="nil"/>
            </w:tcBorders>
            <w:shd w:val="clear" w:color="000000" w:fill="D9D9D9"/>
            <w:noWrap/>
            <w:hideMark/>
          </w:tcPr>
          <w:p w:rsidRPr="002671BE" w:rsidR="00535C32" w:rsidP="00FA64BE" w:rsidRDefault="00535C32">
            <w:pPr>
              <w:overflowPunct/>
              <w:autoSpaceDE/>
              <w:autoSpaceDN/>
              <w:adjustRightInd/>
              <w:ind w:firstLine="180" w:firstLineChars="100"/>
              <w:jc w:val="left"/>
              <w:textAlignment w:val="auto"/>
              <w:rPr>
                <w:rFonts w:ascii="Verdana" w:hAnsi="Verdana" w:cs="Calibri"/>
                <w:szCs w:val="18"/>
                <w:lang w:eastAsia="en-GB"/>
              </w:rPr>
            </w:pPr>
            <w:r w:rsidRPr="002671BE">
              <w:rPr>
                <w:rFonts w:ascii="Verdana" w:hAnsi="Verdana" w:cs="Calibri"/>
                <w:szCs w:val="18"/>
                <w:lang w:eastAsia="en-GB"/>
              </w:rPr>
              <w:t>Effect of business combinations and disposals</w:t>
            </w:r>
          </w:p>
        </w:tc>
        <w:tc>
          <w:tcPr>
            <w:tcW w:w="1127" w:type="dxa"/>
            <w:tcBorders>
              <w:top w:val="nil"/>
              <w:left w:val="nil"/>
              <w:bottom w:val="nil"/>
              <w:right w:val="nil"/>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c>
          <w:tcPr>
            <w:tcW w:w="1237" w:type="dxa"/>
            <w:tcBorders>
              <w:top w:val="nil"/>
              <w:left w:val="nil"/>
              <w:bottom w:val="nil"/>
              <w:right w:val="nil"/>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c>
          <w:tcPr>
            <w:tcW w:w="1580" w:type="dxa"/>
            <w:tcBorders>
              <w:top w:val="nil"/>
              <w:left w:val="nil"/>
              <w:bottom w:val="nil"/>
              <w:right w:val="single" w:color="auto" w:sz="4" w:space="0"/>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r>
      <w:tr w:rsidRPr="002671BE" w:rsidR="00535C32" w:rsidTr="00FA64BE">
        <w:trPr>
          <w:trHeight w:val="225"/>
        </w:trPr>
        <w:tc>
          <w:tcPr>
            <w:tcW w:w="5282" w:type="dxa"/>
            <w:tcBorders>
              <w:top w:val="single" w:color="auto" w:sz="4" w:space="0"/>
              <w:left w:val="single" w:color="auto" w:sz="4" w:space="0"/>
              <w:bottom w:val="single" w:color="auto" w:sz="4" w:space="0"/>
              <w:right w:val="nil"/>
            </w:tcBorders>
            <w:shd w:val="clear" w:color="000000" w:fill="D9D9D9"/>
            <w:noWrap/>
            <w:vAlign w:val="bottom"/>
            <w:hideMark/>
          </w:tcPr>
          <w:p w:rsidRPr="002671BE" w:rsidR="00535C32" w:rsidP="00FA64BE" w:rsidRDefault="00535C32">
            <w:pPr>
              <w:overflowPunct/>
              <w:autoSpaceDE/>
              <w:autoSpaceDN/>
              <w:adjustRightInd/>
              <w:jc w:val="left"/>
              <w:textAlignment w:val="auto"/>
              <w:rPr>
                <w:rFonts w:ascii="Verdana" w:hAnsi="Verdana" w:cs="Calibri"/>
                <w:szCs w:val="18"/>
                <w:lang w:eastAsia="en-GB"/>
              </w:rPr>
            </w:pPr>
            <w:r w:rsidRPr="002671BE">
              <w:rPr>
                <w:rFonts w:ascii="Verdana" w:hAnsi="Verdana" w:cs="Calibri"/>
                <w:szCs w:val="18"/>
                <w:lang w:eastAsia="en-GB"/>
              </w:rPr>
              <w:t>Expected closing position</w:t>
            </w:r>
          </w:p>
        </w:tc>
        <w:tc>
          <w:tcPr>
            <w:tcW w:w="1127" w:type="dxa"/>
            <w:tcBorders>
              <w:top w:val="single" w:color="auto" w:sz="4" w:space="0"/>
              <w:left w:val="nil"/>
              <w:bottom w:val="single" w:color="auto" w:sz="4" w:space="0"/>
              <w:right w:val="nil"/>
            </w:tcBorders>
            <w:shd w:val="clear" w:color="000000" w:fill="D9D9D9"/>
            <w:noWrap/>
            <w:vAlign w:val="bottom"/>
            <w:hideMark/>
          </w:tcPr>
          <w:p w:rsidRPr="002671BE" w:rsidR="00535C32" w:rsidP="00657B3F"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8</w:t>
            </w:r>
            <w:r w:rsidR="00657B3F">
              <w:rPr>
                <w:rFonts w:ascii="Verdana" w:hAnsi="Verdana" w:cs="Calibri"/>
                <w:szCs w:val="18"/>
                <w:lang w:eastAsia="en-GB"/>
              </w:rPr>
              <w:t>7</w:t>
            </w:r>
            <w:r w:rsidRPr="002671BE">
              <w:rPr>
                <w:rFonts w:ascii="Verdana" w:hAnsi="Verdana" w:cs="Calibri"/>
                <w:szCs w:val="18"/>
                <w:lang w:eastAsia="en-GB"/>
              </w:rPr>
              <w:t>,</w:t>
            </w:r>
            <w:r w:rsidR="00657B3F">
              <w:rPr>
                <w:rFonts w:ascii="Verdana" w:hAnsi="Verdana" w:cs="Calibri"/>
                <w:szCs w:val="18"/>
                <w:lang w:eastAsia="en-GB"/>
              </w:rPr>
              <w:t>442</w:t>
            </w:r>
          </w:p>
        </w:tc>
        <w:tc>
          <w:tcPr>
            <w:tcW w:w="1237" w:type="dxa"/>
            <w:tcBorders>
              <w:top w:val="single" w:color="auto" w:sz="4" w:space="0"/>
              <w:left w:val="nil"/>
              <w:bottom w:val="single" w:color="auto" w:sz="4" w:space="0"/>
              <w:right w:val="nil"/>
            </w:tcBorders>
            <w:shd w:val="clear" w:color="000000" w:fill="D9D9D9"/>
            <w:noWrap/>
            <w:vAlign w:val="bottom"/>
            <w:hideMark/>
          </w:tcPr>
          <w:p w:rsidRPr="002671BE" w:rsidR="00535C32" w:rsidP="00657B3F"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9</w:t>
            </w:r>
            <w:r w:rsidR="00657B3F">
              <w:rPr>
                <w:rFonts w:ascii="Verdana" w:hAnsi="Verdana" w:cs="Calibri"/>
                <w:szCs w:val="18"/>
                <w:lang w:eastAsia="en-GB"/>
              </w:rPr>
              <w:t>0,889</w:t>
            </w:r>
          </w:p>
        </w:tc>
        <w:tc>
          <w:tcPr>
            <w:tcW w:w="1580" w:type="dxa"/>
            <w:tcBorders>
              <w:top w:val="single" w:color="auto" w:sz="4" w:space="0"/>
              <w:left w:val="nil"/>
              <w:bottom w:val="single" w:color="auto" w:sz="4" w:space="0"/>
              <w:right w:val="single" w:color="auto" w:sz="4" w:space="0"/>
            </w:tcBorders>
            <w:shd w:val="clear" w:color="000000" w:fill="D9D9D9"/>
            <w:noWrap/>
            <w:vAlign w:val="bottom"/>
            <w:hideMark/>
          </w:tcPr>
          <w:p w:rsidRPr="002671BE" w:rsidR="00535C32" w:rsidP="00657B3F"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w:t>
            </w:r>
            <w:r w:rsidR="00657B3F">
              <w:rPr>
                <w:rFonts w:ascii="Verdana" w:hAnsi="Verdana" w:cs="Calibri"/>
                <w:szCs w:val="18"/>
                <w:lang w:eastAsia="en-GB"/>
              </w:rPr>
              <w:t>3,44</w:t>
            </w:r>
            <w:r w:rsidRPr="002671BE">
              <w:rPr>
                <w:rFonts w:ascii="Verdana" w:hAnsi="Verdana" w:cs="Calibri"/>
                <w:szCs w:val="18"/>
                <w:lang w:eastAsia="en-GB"/>
              </w:rPr>
              <w:t>7)</w:t>
            </w:r>
          </w:p>
        </w:tc>
      </w:tr>
      <w:tr w:rsidRPr="002671BE" w:rsidR="00535C32" w:rsidTr="00FA64BE">
        <w:trPr>
          <w:trHeight w:val="225"/>
        </w:trPr>
        <w:tc>
          <w:tcPr>
            <w:tcW w:w="5282" w:type="dxa"/>
            <w:tcBorders>
              <w:top w:val="nil"/>
              <w:left w:val="single" w:color="auto" w:sz="4" w:space="0"/>
              <w:bottom w:val="nil"/>
              <w:right w:val="nil"/>
            </w:tcBorders>
            <w:shd w:val="clear" w:color="000000" w:fill="D9D9D9"/>
            <w:noWrap/>
            <w:vAlign w:val="bottom"/>
            <w:hideMark/>
          </w:tcPr>
          <w:p w:rsidRPr="002671BE" w:rsidR="00535C32" w:rsidP="00FA64BE" w:rsidRDefault="00535C32">
            <w:pPr>
              <w:overflowPunct/>
              <w:autoSpaceDE/>
              <w:autoSpaceDN/>
              <w:adjustRightInd/>
              <w:jc w:val="left"/>
              <w:textAlignment w:val="auto"/>
              <w:rPr>
                <w:rFonts w:ascii="Verdana" w:hAnsi="Verdana" w:cs="Calibri"/>
                <w:szCs w:val="18"/>
                <w:lang w:eastAsia="en-GB"/>
              </w:rPr>
            </w:pPr>
            <w:r w:rsidRPr="002671BE">
              <w:rPr>
                <w:rFonts w:ascii="Verdana" w:hAnsi="Verdana" w:cs="Calibri"/>
                <w:szCs w:val="18"/>
                <w:lang w:eastAsia="en-GB"/>
              </w:rPr>
              <w:t>Remeasurements</w:t>
            </w:r>
          </w:p>
        </w:tc>
        <w:tc>
          <w:tcPr>
            <w:tcW w:w="1127" w:type="dxa"/>
            <w:tcBorders>
              <w:top w:val="nil"/>
              <w:left w:val="nil"/>
              <w:bottom w:val="nil"/>
              <w:right w:val="nil"/>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c>
          <w:tcPr>
            <w:tcW w:w="1237" w:type="dxa"/>
            <w:tcBorders>
              <w:top w:val="nil"/>
              <w:left w:val="nil"/>
              <w:bottom w:val="nil"/>
              <w:right w:val="nil"/>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c>
          <w:tcPr>
            <w:tcW w:w="1580" w:type="dxa"/>
            <w:tcBorders>
              <w:top w:val="nil"/>
              <w:left w:val="nil"/>
              <w:bottom w:val="nil"/>
              <w:right w:val="single" w:color="auto" w:sz="4" w:space="0"/>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r>
      <w:tr w:rsidRPr="002671BE" w:rsidR="00535C32" w:rsidTr="00FA64BE">
        <w:trPr>
          <w:trHeight w:val="225"/>
        </w:trPr>
        <w:tc>
          <w:tcPr>
            <w:tcW w:w="5282" w:type="dxa"/>
            <w:tcBorders>
              <w:top w:val="nil"/>
              <w:left w:val="single" w:color="auto" w:sz="4" w:space="0"/>
              <w:bottom w:val="nil"/>
              <w:right w:val="nil"/>
            </w:tcBorders>
            <w:shd w:val="clear" w:color="000000" w:fill="D9D9D9"/>
            <w:noWrap/>
            <w:vAlign w:val="bottom"/>
            <w:hideMark/>
          </w:tcPr>
          <w:p w:rsidRPr="002671BE" w:rsidR="00535C32" w:rsidP="00FA64BE" w:rsidRDefault="00535C32">
            <w:pPr>
              <w:overflowPunct/>
              <w:autoSpaceDE/>
              <w:autoSpaceDN/>
              <w:adjustRightInd/>
              <w:ind w:firstLine="180" w:firstLineChars="100"/>
              <w:jc w:val="left"/>
              <w:textAlignment w:val="auto"/>
              <w:rPr>
                <w:rFonts w:ascii="Verdana" w:hAnsi="Verdana" w:cs="Calibri"/>
                <w:szCs w:val="18"/>
                <w:lang w:eastAsia="en-GB"/>
              </w:rPr>
            </w:pPr>
            <w:r w:rsidRPr="002671BE">
              <w:rPr>
                <w:rFonts w:ascii="Verdana" w:hAnsi="Verdana" w:cs="Calibri"/>
                <w:szCs w:val="18"/>
                <w:lang w:eastAsia="en-GB"/>
              </w:rPr>
              <w:t>Changes in demographic assumptions</w:t>
            </w:r>
          </w:p>
        </w:tc>
        <w:tc>
          <w:tcPr>
            <w:tcW w:w="1127" w:type="dxa"/>
            <w:tcBorders>
              <w:top w:val="nil"/>
              <w:left w:val="nil"/>
              <w:bottom w:val="nil"/>
              <w:right w:val="nil"/>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c>
          <w:tcPr>
            <w:tcW w:w="1237" w:type="dxa"/>
            <w:tcBorders>
              <w:top w:val="nil"/>
              <w:left w:val="nil"/>
              <w:bottom w:val="nil"/>
              <w:right w:val="nil"/>
            </w:tcBorders>
            <w:shd w:val="clear" w:color="000000" w:fill="D9D9D9"/>
            <w:noWrap/>
            <w:vAlign w:val="bottom"/>
            <w:hideMark/>
          </w:tcPr>
          <w:p w:rsidRPr="002671BE" w:rsidR="00535C32" w:rsidP="00657B3F" w:rsidRDefault="00657B3F">
            <w:pPr>
              <w:overflowPunct/>
              <w:autoSpaceDE/>
              <w:autoSpaceDN/>
              <w:adjustRightInd/>
              <w:jc w:val="right"/>
              <w:textAlignment w:val="auto"/>
              <w:rPr>
                <w:rFonts w:ascii="Verdana" w:hAnsi="Verdana" w:cs="Calibri"/>
                <w:szCs w:val="18"/>
                <w:lang w:eastAsia="en-GB"/>
              </w:rPr>
            </w:pPr>
            <w:r>
              <w:rPr>
                <w:rFonts w:ascii="Verdana" w:hAnsi="Verdana" w:cs="Calibri"/>
                <w:szCs w:val="18"/>
                <w:lang w:eastAsia="en-GB"/>
              </w:rPr>
              <w:t>(1,448)</w:t>
            </w:r>
          </w:p>
        </w:tc>
        <w:tc>
          <w:tcPr>
            <w:tcW w:w="1580" w:type="dxa"/>
            <w:tcBorders>
              <w:top w:val="nil"/>
              <w:left w:val="nil"/>
              <w:bottom w:val="nil"/>
              <w:right w:val="single" w:color="auto" w:sz="4" w:space="0"/>
            </w:tcBorders>
            <w:shd w:val="clear" w:color="000000" w:fill="D9D9D9"/>
            <w:noWrap/>
            <w:vAlign w:val="bottom"/>
            <w:hideMark/>
          </w:tcPr>
          <w:p w:rsidRPr="002671BE" w:rsidR="00535C32" w:rsidP="00657B3F" w:rsidRDefault="00657B3F">
            <w:pPr>
              <w:overflowPunct/>
              <w:autoSpaceDE/>
              <w:autoSpaceDN/>
              <w:adjustRightInd/>
              <w:jc w:val="right"/>
              <w:textAlignment w:val="auto"/>
              <w:rPr>
                <w:rFonts w:ascii="Verdana" w:hAnsi="Verdana" w:cs="Calibri"/>
                <w:szCs w:val="18"/>
                <w:lang w:eastAsia="en-GB"/>
              </w:rPr>
            </w:pPr>
            <w:r>
              <w:rPr>
                <w:rFonts w:ascii="Verdana" w:hAnsi="Verdana" w:cs="Calibri"/>
                <w:szCs w:val="18"/>
                <w:lang w:eastAsia="en-GB"/>
              </w:rPr>
              <w:t>1,448</w:t>
            </w:r>
          </w:p>
        </w:tc>
      </w:tr>
      <w:tr w:rsidRPr="002671BE" w:rsidR="00535C32" w:rsidTr="00FA64BE">
        <w:trPr>
          <w:trHeight w:val="225"/>
        </w:trPr>
        <w:tc>
          <w:tcPr>
            <w:tcW w:w="5282" w:type="dxa"/>
            <w:tcBorders>
              <w:top w:val="nil"/>
              <w:left w:val="single" w:color="auto" w:sz="4" w:space="0"/>
              <w:bottom w:val="nil"/>
              <w:right w:val="nil"/>
            </w:tcBorders>
            <w:shd w:val="clear" w:color="000000" w:fill="D9D9D9"/>
            <w:noWrap/>
            <w:hideMark/>
          </w:tcPr>
          <w:p w:rsidRPr="002671BE" w:rsidR="00535C32" w:rsidP="00FA64BE" w:rsidRDefault="00535C32">
            <w:pPr>
              <w:overflowPunct/>
              <w:autoSpaceDE/>
              <w:autoSpaceDN/>
              <w:adjustRightInd/>
              <w:ind w:firstLine="180" w:firstLineChars="100"/>
              <w:jc w:val="left"/>
              <w:textAlignment w:val="auto"/>
              <w:rPr>
                <w:rFonts w:ascii="Verdana" w:hAnsi="Verdana" w:cs="Calibri"/>
                <w:szCs w:val="18"/>
                <w:lang w:eastAsia="en-GB"/>
              </w:rPr>
            </w:pPr>
            <w:r w:rsidRPr="002671BE">
              <w:rPr>
                <w:rFonts w:ascii="Verdana" w:hAnsi="Verdana" w:cs="Calibri"/>
                <w:szCs w:val="18"/>
                <w:lang w:eastAsia="en-GB"/>
              </w:rPr>
              <w:t>Changes in financial assumptions</w:t>
            </w:r>
          </w:p>
        </w:tc>
        <w:tc>
          <w:tcPr>
            <w:tcW w:w="1127" w:type="dxa"/>
            <w:tcBorders>
              <w:top w:val="nil"/>
              <w:left w:val="nil"/>
              <w:bottom w:val="nil"/>
              <w:right w:val="nil"/>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c>
          <w:tcPr>
            <w:tcW w:w="1237" w:type="dxa"/>
            <w:tcBorders>
              <w:top w:val="nil"/>
              <w:left w:val="nil"/>
              <w:bottom w:val="nil"/>
              <w:right w:val="nil"/>
            </w:tcBorders>
            <w:shd w:val="clear" w:color="000000" w:fill="D9D9D9"/>
            <w:noWrap/>
            <w:vAlign w:val="bottom"/>
            <w:hideMark/>
          </w:tcPr>
          <w:p w:rsidRPr="002671BE" w:rsidR="00535C32" w:rsidP="00657B3F" w:rsidRDefault="00657B3F">
            <w:pPr>
              <w:overflowPunct/>
              <w:autoSpaceDE/>
              <w:autoSpaceDN/>
              <w:adjustRightInd/>
              <w:jc w:val="right"/>
              <w:textAlignment w:val="auto"/>
              <w:rPr>
                <w:rFonts w:ascii="Verdana" w:hAnsi="Verdana" w:cs="Calibri"/>
                <w:szCs w:val="18"/>
                <w:lang w:eastAsia="en-GB"/>
              </w:rPr>
            </w:pPr>
            <w:r>
              <w:rPr>
                <w:rFonts w:ascii="Verdana" w:hAnsi="Verdana" w:cs="Calibri"/>
                <w:szCs w:val="18"/>
                <w:lang w:eastAsia="en-GB"/>
              </w:rPr>
              <w:t>13,239</w:t>
            </w:r>
          </w:p>
        </w:tc>
        <w:tc>
          <w:tcPr>
            <w:tcW w:w="1580" w:type="dxa"/>
            <w:tcBorders>
              <w:top w:val="nil"/>
              <w:left w:val="nil"/>
              <w:bottom w:val="nil"/>
              <w:right w:val="single" w:color="auto" w:sz="4" w:space="0"/>
            </w:tcBorders>
            <w:shd w:val="clear" w:color="000000" w:fill="D9D9D9"/>
            <w:noWrap/>
            <w:vAlign w:val="bottom"/>
            <w:hideMark/>
          </w:tcPr>
          <w:p w:rsidRPr="002671BE" w:rsidR="00535C32" w:rsidP="00657B3F" w:rsidRDefault="00657B3F">
            <w:pPr>
              <w:overflowPunct/>
              <w:autoSpaceDE/>
              <w:autoSpaceDN/>
              <w:adjustRightInd/>
              <w:jc w:val="right"/>
              <w:textAlignment w:val="auto"/>
              <w:rPr>
                <w:rFonts w:ascii="Verdana" w:hAnsi="Verdana" w:cs="Calibri"/>
                <w:szCs w:val="18"/>
                <w:lang w:eastAsia="en-GB"/>
              </w:rPr>
            </w:pPr>
            <w:r>
              <w:rPr>
                <w:rFonts w:ascii="Verdana" w:hAnsi="Verdana" w:cs="Calibri"/>
                <w:szCs w:val="18"/>
                <w:lang w:eastAsia="en-GB"/>
              </w:rPr>
              <w:t>(13,239)</w:t>
            </w:r>
          </w:p>
        </w:tc>
      </w:tr>
      <w:tr w:rsidRPr="002671BE" w:rsidR="00535C32" w:rsidTr="00FA64BE">
        <w:trPr>
          <w:trHeight w:val="225"/>
        </w:trPr>
        <w:tc>
          <w:tcPr>
            <w:tcW w:w="5282" w:type="dxa"/>
            <w:tcBorders>
              <w:top w:val="nil"/>
              <w:left w:val="single" w:color="auto" w:sz="4" w:space="0"/>
              <w:bottom w:val="nil"/>
              <w:right w:val="nil"/>
            </w:tcBorders>
            <w:shd w:val="clear" w:color="000000" w:fill="D9D9D9"/>
            <w:noWrap/>
            <w:hideMark/>
          </w:tcPr>
          <w:p w:rsidRPr="002671BE" w:rsidR="00535C32" w:rsidP="00FA64BE" w:rsidRDefault="00535C32">
            <w:pPr>
              <w:overflowPunct/>
              <w:autoSpaceDE/>
              <w:autoSpaceDN/>
              <w:adjustRightInd/>
              <w:ind w:firstLine="180" w:firstLineChars="100"/>
              <w:jc w:val="left"/>
              <w:textAlignment w:val="auto"/>
              <w:rPr>
                <w:rFonts w:ascii="Verdana" w:hAnsi="Verdana" w:cs="Calibri"/>
                <w:szCs w:val="18"/>
                <w:lang w:eastAsia="en-GB"/>
              </w:rPr>
            </w:pPr>
            <w:r w:rsidRPr="002671BE">
              <w:rPr>
                <w:rFonts w:ascii="Verdana" w:hAnsi="Verdana" w:cs="Calibri"/>
                <w:szCs w:val="18"/>
                <w:lang w:eastAsia="en-GB"/>
              </w:rPr>
              <w:t>Other experience</w:t>
            </w:r>
          </w:p>
        </w:tc>
        <w:tc>
          <w:tcPr>
            <w:tcW w:w="1127" w:type="dxa"/>
            <w:tcBorders>
              <w:top w:val="nil"/>
              <w:left w:val="nil"/>
              <w:bottom w:val="nil"/>
              <w:right w:val="nil"/>
            </w:tcBorders>
            <w:shd w:val="clear" w:color="000000" w:fill="D9D9D9"/>
            <w:noWrap/>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c>
          <w:tcPr>
            <w:tcW w:w="1237" w:type="dxa"/>
            <w:tcBorders>
              <w:top w:val="nil"/>
              <w:left w:val="nil"/>
              <w:bottom w:val="nil"/>
              <w:right w:val="nil"/>
            </w:tcBorders>
            <w:shd w:val="clear" w:color="000000" w:fill="D9D9D9"/>
            <w:noWrap/>
            <w:hideMark/>
          </w:tcPr>
          <w:p w:rsidRPr="002671BE" w:rsidR="00535C32" w:rsidP="00657B3F"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w:t>
            </w:r>
            <w:r w:rsidR="00657B3F">
              <w:rPr>
                <w:rFonts w:ascii="Verdana" w:hAnsi="Verdana" w:cs="Calibri"/>
                <w:szCs w:val="18"/>
                <w:lang w:eastAsia="en-GB"/>
              </w:rPr>
              <w:t>4,480</w:t>
            </w:r>
            <w:r w:rsidRPr="002671BE">
              <w:rPr>
                <w:rFonts w:ascii="Verdana" w:hAnsi="Verdana" w:cs="Calibri"/>
                <w:szCs w:val="18"/>
                <w:lang w:eastAsia="en-GB"/>
              </w:rPr>
              <w:t>)</w:t>
            </w:r>
          </w:p>
        </w:tc>
        <w:tc>
          <w:tcPr>
            <w:tcW w:w="1580" w:type="dxa"/>
            <w:tcBorders>
              <w:top w:val="nil"/>
              <w:left w:val="nil"/>
              <w:bottom w:val="nil"/>
              <w:right w:val="single" w:color="auto" w:sz="4" w:space="0"/>
            </w:tcBorders>
            <w:shd w:val="clear" w:color="000000" w:fill="D9D9D9"/>
            <w:noWrap/>
            <w:vAlign w:val="bottom"/>
            <w:hideMark/>
          </w:tcPr>
          <w:p w:rsidRPr="002671BE" w:rsidR="00535C32" w:rsidP="00C92621" w:rsidRDefault="00657B3F">
            <w:pPr>
              <w:overflowPunct/>
              <w:autoSpaceDE/>
              <w:autoSpaceDN/>
              <w:adjustRightInd/>
              <w:jc w:val="right"/>
              <w:textAlignment w:val="auto"/>
              <w:rPr>
                <w:rFonts w:ascii="Verdana" w:hAnsi="Verdana" w:cs="Calibri"/>
                <w:szCs w:val="18"/>
                <w:lang w:eastAsia="en-GB"/>
              </w:rPr>
            </w:pPr>
            <w:r>
              <w:rPr>
                <w:rFonts w:ascii="Verdana" w:hAnsi="Verdana" w:cs="Calibri"/>
                <w:szCs w:val="18"/>
                <w:lang w:eastAsia="en-GB"/>
              </w:rPr>
              <w:t>4,480</w:t>
            </w:r>
          </w:p>
        </w:tc>
      </w:tr>
      <w:tr w:rsidRPr="002671BE" w:rsidR="00535C32" w:rsidTr="00FA64BE">
        <w:trPr>
          <w:trHeight w:val="225"/>
        </w:trPr>
        <w:tc>
          <w:tcPr>
            <w:tcW w:w="5282" w:type="dxa"/>
            <w:tcBorders>
              <w:top w:val="nil"/>
              <w:left w:val="single" w:color="auto" w:sz="4" w:space="0"/>
              <w:bottom w:val="nil"/>
              <w:right w:val="nil"/>
            </w:tcBorders>
            <w:shd w:val="clear" w:color="000000" w:fill="D9D9D9"/>
            <w:noWrap/>
            <w:hideMark/>
          </w:tcPr>
          <w:p w:rsidRPr="002671BE" w:rsidR="00535C32" w:rsidP="00FA64BE" w:rsidRDefault="00535C32">
            <w:pPr>
              <w:overflowPunct/>
              <w:autoSpaceDE/>
              <w:autoSpaceDN/>
              <w:adjustRightInd/>
              <w:ind w:firstLine="180" w:firstLineChars="100"/>
              <w:jc w:val="left"/>
              <w:textAlignment w:val="auto"/>
              <w:rPr>
                <w:rFonts w:ascii="Verdana" w:hAnsi="Verdana" w:cs="Calibri"/>
                <w:szCs w:val="18"/>
                <w:lang w:eastAsia="en-GB"/>
              </w:rPr>
            </w:pPr>
            <w:r w:rsidRPr="002671BE">
              <w:rPr>
                <w:rFonts w:ascii="Verdana" w:hAnsi="Verdana" w:cs="Calibri"/>
                <w:szCs w:val="18"/>
                <w:lang w:eastAsia="en-GB"/>
              </w:rPr>
              <w:t>Return on assets ex amounts included in net interest</w:t>
            </w:r>
          </w:p>
        </w:tc>
        <w:tc>
          <w:tcPr>
            <w:tcW w:w="1127" w:type="dxa"/>
            <w:tcBorders>
              <w:top w:val="nil"/>
              <w:left w:val="nil"/>
              <w:bottom w:val="nil"/>
              <w:right w:val="nil"/>
            </w:tcBorders>
            <w:shd w:val="clear" w:color="000000" w:fill="D9D9D9"/>
            <w:noWrap/>
            <w:vAlign w:val="bottom"/>
            <w:hideMark/>
          </w:tcPr>
          <w:p w:rsidRPr="002671BE" w:rsidR="00535C32" w:rsidP="00C92621" w:rsidRDefault="00657B3F">
            <w:pPr>
              <w:overflowPunct/>
              <w:autoSpaceDE/>
              <w:autoSpaceDN/>
              <w:adjustRightInd/>
              <w:jc w:val="right"/>
              <w:textAlignment w:val="auto"/>
              <w:rPr>
                <w:rFonts w:ascii="Verdana" w:hAnsi="Verdana" w:cs="Calibri"/>
                <w:szCs w:val="18"/>
                <w:lang w:eastAsia="en-GB"/>
              </w:rPr>
            </w:pPr>
            <w:r>
              <w:rPr>
                <w:rFonts w:ascii="Verdana" w:hAnsi="Verdana" w:cs="Calibri"/>
                <w:szCs w:val="18"/>
                <w:lang w:eastAsia="en-GB"/>
              </w:rPr>
              <w:t>10,024</w:t>
            </w:r>
          </w:p>
        </w:tc>
        <w:tc>
          <w:tcPr>
            <w:tcW w:w="1237" w:type="dxa"/>
            <w:tcBorders>
              <w:top w:val="nil"/>
              <w:left w:val="nil"/>
              <w:bottom w:val="nil"/>
              <w:right w:val="nil"/>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c>
          <w:tcPr>
            <w:tcW w:w="1580" w:type="dxa"/>
            <w:tcBorders>
              <w:top w:val="nil"/>
              <w:left w:val="nil"/>
              <w:bottom w:val="nil"/>
              <w:right w:val="single" w:color="auto" w:sz="4" w:space="0"/>
            </w:tcBorders>
            <w:shd w:val="clear" w:color="000000" w:fill="D9D9D9"/>
            <w:noWrap/>
            <w:vAlign w:val="bottom"/>
            <w:hideMark/>
          </w:tcPr>
          <w:p w:rsidRPr="002671BE" w:rsidR="00535C32" w:rsidP="00C92621" w:rsidRDefault="00657B3F">
            <w:pPr>
              <w:overflowPunct/>
              <w:autoSpaceDE/>
              <w:autoSpaceDN/>
              <w:adjustRightInd/>
              <w:jc w:val="right"/>
              <w:textAlignment w:val="auto"/>
              <w:rPr>
                <w:rFonts w:ascii="Verdana" w:hAnsi="Verdana" w:cs="Calibri"/>
                <w:szCs w:val="18"/>
                <w:lang w:eastAsia="en-GB"/>
              </w:rPr>
            </w:pPr>
            <w:r>
              <w:rPr>
                <w:rFonts w:ascii="Verdana" w:hAnsi="Verdana" w:cs="Calibri"/>
                <w:szCs w:val="18"/>
                <w:lang w:eastAsia="en-GB"/>
              </w:rPr>
              <w:t>10,024</w:t>
            </w:r>
          </w:p>
        </w:tc>
      </w:tr>
      <w:tr w:rsidRPr="002671BE" w:rsidR="00535C32" w:rsidTr="00FA64BE">
        <w:trPr>
          <w:trHeight w:val="225"/>
        </w:trPr>
        <w:tc>
          <w:tcPr>
            <w:tcW w:w="5282" w:type="dxa"/>
            <w:tcBorders>
              <w:top w:val="nil"/>
              <w:left w:val="single" w:color="auto" w:sz="4" w:space="0"/>
              <w:bottom w:val="nil"/>
              <w:right w:val="nil"/>
            </w:tcBorders>
            <w:shd w:val="clear" w:color="000000" w:fill="D9D9D9"/>
            <w:noWrap/>
            <w:hideMark/>
          </w:tcPr>
          <w:p w:rsidRPr="002671BE" w:rsidR="00535C32" w:rsidP="00FA64BE" w:rsidRDefault="00535C32">
            <w:pPr>
              <w:overflowPunct/>
              <w:autoSpaceDE/>
              <w:autoSpaceDN/>
              <w:adjustRightInd/>
              <w:ind w:firstLine="180" w:firstLineChars="100"/>
              <w:jc w:val="left"/>
              <w:textAlignment w:val="auto"/>
              <w:rPr>
                <w:rFonts w:ascii="Verdana" w:hAnsi="Verdana" w:cs="Calibri"/>
                <w:szCs w:val="18"/>
                <w:lang w:eastAsia="en-GB"/>
              </w:rPr>
            </w:pPr>
            <w:r w:rsidRPr="002671BE">
              <w:rPr>
                <w:rFonts w:ascii="Verdana" w:hAnsi="Verdana" w:cs="Calibri"/>
                <w:szCs w:val="18"/>
                <w:lang w:eastAsia="en-GB"/>
              </w:rPr>
              <w:t>Changes in asset ceiling</w:t>
            </w:r>
          </w:p>
        </w:tc>
        <w:tc>
          <w:tcPr>
            <w:tcW w:w="1127" w:type="dxa"/>
            <w:tcBorders>
              <w:top w:val="nil"/>
              <w:left w:val="nil"/>
              <w:bottom w:val="nil"/>
              <w:right w:val="nil"/>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c>
          <w:tcPr>
            <w:tcW w:w="1237" w:type="dxa"/>
            <w:tcBorders>
              <w:top w:val="nil"/>
              <w:left w:val="nil"/>
              <w:bottom w:val="nil"/>
              <w:right w:val="nil"/>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c>
          <w:tcPr>
            <w:tcW w:w="1580" w:type="dxa"/>
            <w:tcBorders>
              <w:top w:val="nil"/>
              <w:left w:val="nil"/>
              <w:bottom w:val="nil"/>
              <w:right w:val="single" w:color="auto" w:sz="4" w:space="0"/>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r>
      <w:tr w:rsidRPr="002671BE" w:rsidR="00535C32" w:rsidTr="00FA64BE">
        <w:trPr>
          <w:trHeight w:val="225"/>
        </w:trPr>
        <w:tc>
          <w:tcPr>
            <w:tcW w:w="5282" w:type="dxa"/>
            <w:tcBorders>
              <w:top w:val="single" w:color="auto" w:sz="4" w:space="0"/>
              <w:left w:val="single" w:color="auto" w:sz="4" w:space="0"/>
              <w:bottom w:val="single" w:color="auto" w:sz="4" w:space="0"/>
              <w:right w:val="nil"/>
            </w:tcBorders>
            <w:shd w:val="clear" w:color="000000" w:fill="D9D9D9"/>
            <w:noWrap/>
            <w:hideMark/>
          </w:tcPr>
          <w:p w:rsidRPr="002671BE" w:rsidR="00535C32" w:rsidP="00FA64BE" w:rsidRDefault="00535C32">
            <w:pPr>
              <w:overflowPunct/>
              <w:autoSpaceDE/>
              <w:autoSpaceDN/>
              <w:adjustRightInd/>
              <w:jc w:val="left"/>
              <w:textAlignment w:val="auto"/>
              <w:rPr>
                <w:rFonts w:ascii="Verdana" w:hAnsi="Verdana" w:cs="Calibri"/>
                <w:szCs w:val="18"/>
                <w:lang w:eastAsia="en-GB"/>
              </w:rPr>
            </w:pPr>
            <w:r w:rsidRPr="002671BE">
              <w:rPr>
                <w:rFonts w:ascii="Verdana" w:hAnsi="Verdana" w:cs="Calibri"/>
                <w:szCs w:val="18"/>
                <w:lang w:eastAsia="en-GB"/>
              </w:rPr>
              <w:t>Total remeasurements recognised in SCI</w:t>
            </w:r>
          </w:p>
        </w:tc>
        <w:tc>
          <w:tcPr>
            <w:tcW w:w="1127" w:type="dxa"/>
            <w:tcBorders>
              <w:top w:val="single" w:color="auto" w:sz="4" w:space="0"/>
              <w:left w:val="nil"/>
              <w:bottom w:val="single" w:color="auto" w:sz="4" w:space="0"/>
              <w:right w:val="nil"/>
            </w:tcBorders>
            <w:shd w:val="clear" w:color="000000" w:fill="D9D9D9"/>
            <w:noWrap/>
            <w:vAlign w:val="bottom"/>
            <w:hideMark/>
          </w:tcPr>
          <w:p w:rsidRPr="002671BE" w:rsidR="00535C32" w:rsidP="00C92621" w:rsidRDefault="00657B3F">
            <w:pPr>
              <w:overflowPunct/>
              <w:autoSpaceDE/>
              <w:autoSpaceDN/>
              <w:adjustRightInd/>
              <w:jc w:val="right"/>
              <w:textAlignment w:val="auto"/>
              <w:rPr>
                <w:rFonts w:ascii="Verdana" w:hAnsi="Verdana" w:cs="Calibri"/>
                <w:szCs w:val="18"/>
                <w:lang w:eastAsia="en-GB"/>
              </w:rPr>
            </w:pPr>
            <w:r>
              <w:rPr>
                <w:rFonts w:ascii="Verdana" w:hAnsi="Verdana" w:cs="Calibri"/>
                <w:szCs w:val="18"/>
                <w:lang w:eastAsia="en-GB"/>
              </w:rPr>
              <w:t>10,024</w:t>
            </w:r>
          </w:p>
        </w:tc>
        <w:tc>
          <w:tcPr>
            <w:tcW w:w="1237" w:type="dxa"/>
            <w:tcBorders>
              <w:top w:val="single" w:color="auto" w:sz="4" w:space="0"/>
              <w:left w:val="nil"/>
              <w:bottom w:val="single" w:color="auto" w:sz="4" w:space="0"/>
              <w:right w:val="nil"/>
            </w:tcBorders>
            <w:shd w:val="clear" w:color="000000" w:fill="D9D9D9"/>
            <w:noWrap/>
            <w:vAlign w:val="bottom"/>
            <w:hideMark/>
          </w:tcPr>
          <w:p w:rsidRPr="002671BE" w:rsidR="00535C32" w:rsidP="00C92621" w:rsidRDefault="00657B3F">
            <w:pPr>
              <w:overflowPunct/>
              <w:autoSpaceDE/>
              <w:autoSpaceDN/>
              <w:adjustRightInd/>
              <w:jc w:val="right"/>
              <w:textAlignment w:val="auto"/>
              <w:rPr>
                <w:rFonts w:ascii="Verdana" w:hAnsi="Verdana" w:cs="Calibri"/>
                <w:szCs w:val="18"/>
                <w:lang w:eastAsia="en-GB"/>
              </w:rPr>
            </w:pPr>
            <w:r>
              <w:rPr>
                <w:rFonts w:ascii="Verdana" w:hAnsi="Verdana" w:cs="Calibri"/>
                <w:szCs w:val="18"/>
                <w:lang w:eastAsia="en-GB"/>
              </w:rPr>
              <w:t>7,311</w:t>
            </w:r>
          </w:p>
        </w:tc>
        <w:tc>
          <w:tcPr>
            <w:tcW w:w="1580" w:type="dxa"/>
            <w:tcBorders>
              <w:top w:val="single" w:color="auto" w:sz="4" w:space="0"/>
              <w:left w:val="nil"/>
              <w:bottom w:val="single" w:color="auto" w:sz="4" w:space="0"/>
              <w:right w:val="single" w:color="auto" w:sz="4" w:space="0"/>
            </w:tcBorders>
            <w:shd w:val="clear" w:color="000000" w:fill="D9D9D9"/>
            <w:noWrap/>
            <w:vAlign w:val="bottom"/>
            <w:hideMark/>
          </w:tcPr>
          <w:p w:rsidRPr="002671BE" w:rsidR="00535C32" w:rsidP="00C92621" w:rsidRDefault="00657B3F">
            <w:pPr>
              <w:overflowPunct/>
              <w:autoSpaceDE/>
              <w:autoSpaceDN/>
              <w:adjustRightInd/>
              <w:jc w:val="right"/>
              <w:textAlignment w:val="auto"/>
              <w:rPr>
                <w:rFonts w:ascii="Verdana" w:hAnsi="Verdana" w:cs="Calibri"/>
                <w:szCs w:val="18"/>
                <w:lang w:eastAsia="en-GB"/>
              </w:rPr>
            </w:pPr>
            <w:r>
              <w:rPr>
                <w:rFonts w:ascii="Verdana" w:hAnsi="Verdana" w:cs="Calibri"/>
                <w:szCs w:val="18"/>
                <w:lang w:eastAsia="en-GB"/>
              </w:rPr>
              <w:t>2,713</w:t>
            </w:r>
          </w:p>
        </w:tc>
      </w:tr>
      <w:tr w:rsidRPr="002671BE" w:rsidR="00535C32" w:rsidTr="00FA64BE">
        <w:trPr>
          <w:trHeight w:val="225"/>
        </w:trPr>
        <w:tc>
          <w:tcPr>
            <w:tcW w:w="5282" w:type="dxa"/>
            <w:tcBorders>
              <w:top w:val="nil"/>
              <w:left w:val="single" w:color="auto" w:sz="4" w:space="0"/>
              <w:bottom w:val="nil"/>
              <w:right w:val="nil"/>
            </w:tcBorders>
            <w:shd w:val="clear" w:color="000000" w:fill="D9D9D9"/>
            <w:noWrap/>
            <w:hideMark/>
          </w:tcPr>
          <w:p w:rsidRPr="002671BE" w:rsidR="00535C32" w:rsidP="00FA64BE" w:rsidRDefault="00535C32">
            <w:pPr>
              <w:overflowPunct/>
              <w:autoSpaceDE/>
              <w:autoSpaceDN/>
              <w:adjustRightInd/>
              <w:jc w:val="left"/>
              <w:textAlignment w:val="auto"/>
              <w:rPr>
                <w:rFonts w:ascii="Verdana" w:hAnsi="Verdana" w:cs="Calibri"/>
                <w:szCs w:val="18"/>
                <w:lang w:eastAsia="en-GB"/>
              </w:rPr>
            </w:pPr>
            <w:r w:rsidRPr="002671BE">
              <w:rPr>
                <w:rFonts w:ascii="Verdana" w:hAnsi="Verdana" w:cs="Calibri"/>
                <w:szCs w:val="18"/>
                <w:lang w:eastAsia="en-GB"/>
              </w:rPr>
              <w:t>Fair value of plan assets</w:t>
            </w:r>
          </w:p>
        </w:tc>
        <w:tc>
          <w:tcPr>
            <w:tcW w:w="1127" w:type="dxa"/>
            <w:tcBorders>
              <w:top w:val="nil"/>
              <w:left w:val="nil"/>
              <w:bottom w:val="nil"/>
              <w:right w:val="nil"/>
            </w:tcBorders>
            <w:shd w:val="clear" w:color="000000" w:fill="D9D9D9"/>
            <w:noWrap/>
            <w:vAlign w:val="bottom"/>
            <w:hideMark/>
          </w:tcPr>
          <w:p w:rsidRPr="002671BE" w:rsidR="00535C32" w:rsidP="00C92621" w:rsidRDefault="00657B3F">
            <w:pPr>
              <w:overflowPunct/>
              <w:autoSpaceDE/>
              <w:autoSpaceDN/>
              <w:adjustRightInd/>
              <w:jc w:val="right"/>
              <w:textAlignment w:val="auto"/>
              <w:rPr>
                <w:rFonts w:ascii="Verdana" w:hAnsi="Verdana" w:cs="Calibri"/>
                <w:szCs w:val="18"/>
                <w:lang w:eastAsia="en-GB"/>
              </w:rPr>
            </w:pPr>
            <w:r>
              <w:rPr>
                <w:rFonts w:ascii="Verdana" w:hAnsi="Verdana" w:cs="Calibri"/>
                <w:szCs w:val="18"/>
                <w:lang w:eastAsia="en-GB"/>
              </w:rPr>
              <w:t>97,466</w:t>
            </w:r>
          </w:p>
        </w:tc>
        <w:tc>
          <w:tcPr>
            <w:tcW w:w="1237" w:type="dxa"/>
            <w:tcBorders>
              <w:top w:val="nil"/>
              <w:left w:val="nil"/>
              <w:bottom w:val="nil"/>
              <w:right w:val="nil"/>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c>
          <w:tcPr>
            <w:tcW w:w="1580" w:type="dxa"/>
            <w:tcBorders>
              <w:top w:val="nil"/>
              <w:left w:val="nil"/>
              <w:bottom w:val="nil"/>
              <w:right w:val="single" w:color="auto" w:sz="4" w:space="0"/>
            </w:tcBorders>
            <w:shd w:val="clear" w:color="000000" w:fill="D9D9D9"/>
            <w:noWrap/>
            <w:vAlign w:val="bottom"/>
            <w:hideMark/>
          </w:tcPr>
          <w:p w:rsidRPr="002671BE" w:rsidR="00535C32" w:rsidP="00C92621" w:rsidRDefault="00657B3F">
            <w:pPr>
              <w:overflowPunct/>
              <w:autoSpaceDE/>
              <w:autoSpaceDN/>
              <w:adjustRightInd/>
              <w:jc w:val="right"/>
              <w:textAlignment w:val="auto"/>
              <w:rPr>
                <w:rFonts w:ascii="Verdana" w:hAnsi="Verdana" w:cs="Calibri"/>
                <w:szCs w:val="18"/>
                <w:lang w:eastAsia="en-GB"/>
              </w:rPr>
            </w:pPr>
            <w:r>
              <w:rPr>
                <w:rFonts w:ascii="Verdana" w:hAnsi="Verdana" w:cs="Calibri"/>
                <w:szCs w:val="18"/>
                <w:lang w:eastAsia="en-GB"/>
              </w:rPr>
              <w:t>97,466</w:t>
            </w:r>
          </w:p>
        </w:tc>
      </w:tr>
      <w:tr w:rsidRPr="002671BE" w:rsidR="00535C32" w:rsidTr="00FA64BE">
        <w:trPr>
          <w:trHeight w:val="225"/>
        </w:trPr>
        <w:tc>
          <w:tcPr>
            <w:tcW w:w="5282" w:type="dxa"/>
            <w:tcBorders>
              <w:top w:val="nil"/>
              <w:left w:val="single" w:color="auto" w:sz="4" w:space="0"/>
              <w:bottom w:val="nil"/>
              <w:right w:val="nil"/>
            </w:tcBorders>
            <w:shd w:val="clear" w:color="000000" w:fill="D9D9D9"/>
            <w:noWrap/>
            <w:hideMark/>
          </w:tcPr>
          <w:p w:rsidRPr="002671BE" w:rsidR="00535C32" w:rsidP="00FA64BE" w:rsidRDefault="00535C32">
            <w:pPr>
              <w:overflowPunct/>
              <w:autoSpaceDE/>
              <w:autoSpaceDN/>
              <w:adjustRightInd/>
              <w:jc w:val="left"/>
              <w:textAlignment w:val="auto"/>
              <w:rPr>
                <w:rFonts w:ascii="Verdana" w:hAnsi="Verdana" w:cs="Calibri"/>
                <w:szCs w:val="18"/>
                <w:lang w:eastAsia="en-GB"/>
              </w:rPr>
            </w:pPr>
            <w:r w:rsidRPr="002671BE">
              <w:rPr>
                <w:rFonts w:ascii="Verdana" w:hAnsi="Verdana" w:cs="Calibri"/>
                <w:szCs w:val="18"/>
                <w:lang w:eastAsia="en-GB"/>
              </w:rPr>
              <w:t>Present value of funded liabilities</w:t>
            </w:r>
          </w:p>
        </w:tc>
        <w:tc>
          <w:tcPr>
            <w:tcW w:w="1127" w:type="dxa"/>
            <w:tcBorders>
              <w:top w:val="nil"/>
              <w:left w:val="nil"/>
              <w:bottom w:val="nil"/>
              <w:right w:val="nil"/>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c>
          <w:tcPr>
            <w:tcW w:w="1237" w:type="dxa"/>
            <w:tcBorders>
              <w:top w:val="nil"/>
              <w:left w:val="nil"/>
              <w:bottom w:val="nil"/>
              <w:right w:val="nil"/>
            </w:tcBorders>
            <w:shd w:val="clear" w:color="000000" w:fill="D9D9D9"/>
            <w:noWrap/>
            <w:vAlign w:val="bottom"/>
            <w:hideMark/>
          </w:tcPr>
          <w:p w:rsidRPr="002671BE" w:rsidR="00535C32" w:rsidP="00657B3F" w:rsidRDefault="00657B3F">
            <w:pPr>
              <w:overflowPunct/>
              <w:autoSpaceDE/>
              <w:autoSpaceDN/>
              <w:adjustRightInd/>
              <w:jc w:val="right"/>
              <w:textAlignment w:val="auto"/>
              <w:rPr>
                <w:rFonts w:ascii="Verdana" w:hAnsi="Verdana" w:cs="Calibri"/>
                <w:szCs w:val="18"/>
                <w:lang w:eastAsia="en-GB"/>
              </w:rPr>
            </w:pPr>
            <w:r>
              <w:rPr>
                <w:rFonts w:ascii="Verdana" w:hAnsi="Verdana" w:cs="Calibri"/>
                <w:szCs w:val="18"/>
                <w:lang w:eastAsia="en-GB"/>
              </w:rPr>
              <w:t>98</w:t>
            </w:r>
            <w:r w:rsidRPr="002671BE" w:rsidR="00535C32">
              <w:rPr>
                <w:rFonts w:ascii="Verdana" w:hAnsi="Verdana" w:cs="Calibri"/>
                <w:szCs w:val="18"/>
                <w:lang w:eastAsia="en-GB"/>
              </w:rPr>
              <w:t>,</w:t>
            </w:r>
            <w:r>
              <w:rPr>
                <w:rFonts w:ascii="Verdana" w:hAnsi="Verdana" w:cs="Calibri"/>
                <w:szCs w:val="18"/>
                <w:lang w:eastAsia="en-GB"/>
              </w:rPr>
              <w:t>200</w:t>
            </w:r>
          </w:p>
        </w:tc>
        <w:tc>
          <w:tcPr>
            <w:tcW w:w="1580" w:type="dxa"/>
            <w:tcBorders>
              <w:top w:val="nil"/>
              <w:left w:val="nil"/>
              <w:bottom w:val="nil"/>
              <w:right w:val="single" w:color="auto" w:sz="4" w:space="0"/>
            </w:tcBorders>
            <w:shd w:val="clear" w:color="000000" w:fill="D9D9D9"/>
            <w:noWrap/>
            <w:vAlign w:val="bottom"/>
            <w:hideMark/>
          </w:tcPr>
          <w:p w:rsidRPr="002671BE" w:rsidR="00535C32" w:rsidP="00657B3F" w:rsidRDefault="00657B3F">
            <w:pPr>
              <w:overflowPunct/>
              <w:autoSpaceDE/>
              <w:autoSpaceDN/>
              <w:adjustRightInd/>
              <w:jc w:val="right"/>
              <w:textAlignment w:val="auto"/>
              <w:rPr>
                <w:rFonts w:ascii="Verdana" w:hAnsi="Verdana" w:cs="Calibri"/>
                <w:szCs w:val="18"/>
                <w:lang w:eastAsia="en-GB"/>
              </w:rPr>
            </w:pPr>
            <w:r>
              <w:rPr>
                <w:rFonts w:ascii="Verdana" w:hAnsi="Verdana" w:cs="Calibri"/>
                <w:szCs w:val="18"/>
                <w:lang w:eastAsia="en-GB"/>
              </w:rPr>
              <w:t>(98</w:t>
            </w:r>
            <w:r w:rsidRPr="002671BE" w:rsidR="00535C32">
              <w:rPr>
                <w:rFonts w:ascii="Verdana" w:hAnsi="Verdana" w:cs="Calibri"/>
                <w:szCs w:val="18"/>
                <w:lang w:eastAsia="en-GB"/>
              </w:rPr>
              <w:t>,</w:t>
            </w:r>
            <w:r>
              <w:rPr>
                <w:rFonts w:ascii="Verdana" w:hAnsi="Verdana" w:cs="Calibri"/>
                <w:szCs w:val="18"/>
                <w:lang w:eastAsia="en-GB"/>
              </w:rPr>
              <w:t>200</w:t>
            </w:r>
            <w:r w:rsidRPr="002671BE" w:rsidR="00535C32">
              <w:rPr>
                <w:rFonts w:ascii="Verdana" w:hAnsi="Verdana" w:cs="Calibri"/>
                <w:szCs w:val="18"/>
                <w:lang w:eastAsia="en-GB"/>
              </w:rPr>
              <w:t>)</w:t>
            </w:r>
          </w:p>
        </w:tc>
      </w:tr>
      <w:tr w:rsidRPr="002671BE" w:rsidR="00535C32" w:rsidTr="00FA64BE">
        <w:trPr>
          <w:trHeight w:val="225"/>
        </w:trPr>
        <w:tc>
          <w:tcPr>
            <w:tcW w:w="5282" w:type="dxa"/>
            <w:tcBorders>
              <w:top w:val="nil"/>
              <w:left w:val="single" w:color="auto" w:sz="4" w:space="0"/>
              <w:bottom w:val="nil"/>
              <w:right w:val="nil"/>
            </w:tcBorders>
            <w:shd w:val="clear" w:color="000000" w:fill="D9D9D9"/>
            <w:noWrap/>
            <w:hideMark/>
          </w:tcPr>
          <w:p w:rsidRPr="002671BE" w:rsidR="00535C32" w:rsidP="00FA64BE" w:rsidRDefault="00535C32">
            <w:pPr>
              <w:overflowPunct/>
              <w:autoSpaceDE/>
              <w:autoSpaceDN/>
              <w:adjustRightInd/>
              <w:jc w:val="left"/>
              <w:textAlignment w:val="auto"/>
              <w:rPr>
                <w:rFonts w:ascii="Verdana" w:hAnsi="Verdana" w:cs="Calibri"/>
                <w:szCs w:val="18"/>
                <w:lang w:eastAsia="en-GB"/>
              </w:rPr>
            </w:pPr>
            <w:r w:rsidRPr="002671BE">
              <w:rPr>
                <w:rFonts w:ascii="Verdana" w:hAnsi="Verdana" w:cs="Calibri"/>
                <w:szCs w:val="18"/>
                <w:lang w:eastAsia="en-GB"/>
              </w:rPr>
              <w:t>Present value of unfunded liabilities</w:t>
            </w:r>
          </w:p>
        </w:tc>
        <w:tc>
          <w:tcPr>
            <w:tcW w:w="1127" w:type="dxa"/>
            <w:tcBorders>
              <w:top w:val="nil"/>
              <w:left w:val="nil"/>
              <w:bottom w:val="nil"/>
              <w:right w:val="nil"/>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c>
          <w:tcPr>
            <w:tcW w:w="1237" w:type="dxa"/>
            <w:tcBorders>
              <w:top w:val="nil"/>
              <w:left w:val="nil"/>
              <w:bottom w:val="nil"/>
              <w:right w:val="nil"/>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c>
          <w:tcPr>
            <w:tcW w:w="1580" w:type="dxa"/>
            <w:tcBorders>
              <w:top w:val="nil"/>
              <w:left w:val="nil"/>
              <w:bottom w:val="nil"/>
              <w:right w:val="single" w:color="auto" w:sz="4" w:space="0"/>
            </w:tcBorders>
            <w:shd w:val="clear" w:color="000000" w:fill="D9D9D9"/>
            <w:noWrap/>
            <w:vAlign w:val="bottom"/>
            <w:hideMark/>
          </w:tcPr>
          <w:p w:rsidRPr="002671BE" w:rsidR="00535C32" w:rsidP="00C92621"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 </w:t>
            </w:r>
          </w:p>
        </w:tc>
      </w:tr>
      <w:tr w:rsidRPr="002671BE" w:rsidR="00535C32" w:rsidTr="00FA64BE">
        <w:trPr>
          <w:trHeight w:val="225"/>
        </w:trPr>
        <w:tc>
          <w:tcPr>
            <w:tcW w:w="5282" w:type="dxa"/>
            <w:tcBorders>
              <w:top w:val="single" w:color="auto" w:sz="4" w:space="0"/>
              <w:left w:val="single" w:color="auto" w:sz="4" w:space="0"/>
              <w:bottom w:val="single" w:color="auto" w:sz="4" w:space="0"/>
              <w:right w:val="nil"/>
            </w:tcBorders>
            <w:shd w:val="clear" w:color="000000" w:fill="D9D9D9"/>
            <w:noWrap/>
            <w:hideMark/>
          </w:tcPr>
          <w:p w:rsidRPr="002671BE" w:rsidR="00535C32" w:rsidP="00657B3F" w:rsidRDefault="00535C32">
            <w:pPr>
              <w:overflowPunct/>
              <w:autoSpaceDE/>
              <w:autoSpaceDN/>
              <w:adjustRightInd/>
              <w:jc w:val="left"/>
              <w:textAlignment w:val="auto"/>
              <w:rPr>
                <w:rFonts w:ascii="Verdana" w:hAnsi="Verdana" w:cs="Calibri"/>
                <w:szCs w:val="18"/>
                <w:lang w:eastAsia="en-GB"/>
              </w:rPr>
            </w:pPr>
            <w:r w:rsidRPr="002671BE">
              <w:rPr>
                <w:rFonts w:ascii="Verdana" w:hAnsi="Verdana" w:cs="Calibri"/>
                <w:szCs w:val="18"/>
                <w:lang w:eastAsia="en-GB"/>
              </w:rPr>
              <w:t>Closing position as at 31 March 201</w:t>
            </w:r>
            <w:r w:rsidR="00657B3F">
              <w:rPr>
                <w:rFonts w:ascii="Verdana" w:hAnsi="Verdana" w:cs="Calibri"/>
                <w:szCs w:val="18"/>
                <w:lang w:eastAsia="en-GB"/>
              </w:rPr>
              <w:t>7</w:t>
            </w:r>
          </w:p>
        </w:tc>
        <w:tc>
          <w:tcPr>
            <w:tcW w:w="1127" w:type="dxa"/>
            <w:tcBorders>
              <w:top w:val="single" w:color="auto" w:sz="4" w:space="0"/>
              <w:left w:val="nil"/>
              <w:bottom w:val="single" w:color="auto" w:sz="4" w:space="0"/>
              <w:right w:val="nil"/>
            </w:tcBorders>
            <w:shd w:val="clear" w:color="000000" w:fill="D9D9D9"/>
            <w:noWrap/>
            <w:vAlign w:val="bottom"/>
            <w:hideMark/>
          </w:tcPr>
          <w:p w:rsidRPr="002671BE" w:rsidR="00535C32" w:rsidP="00C92621" w:rsidRDefault="00657B3F">
            <w:pPr>
              <w:overflowPunct/>
              <w:autoSpaceDE/>
              <w:autoSpaceDN/>
              <w:adjustRightInd/>
              <w:jc w:val="right"/>
              <w:textAlignment w:val="auto"/>
              <w:rPr>
                <w:rFonts w:ascii="Verdana" w:hAnsi="Verdana" w:cs="Calibri"/>
                <w:szCs w:val="18"/>
                <w:lang w:eastAsia="en-GB"/>
              </w:rPr>
            </w:pPr>
            <w:r>
              <w:rPr>
                <w:rFonts w:ascii="Verdana" w:hAnsi="Verdana" w:cs="Calibri"/>
                <w:szCs w:val="18"/>
                <w:lang w:eastAsia="en-GB"/>
              </w:rPr>
              <w:t>97,466</w:t>
            </w:r>
          </w:p>
        </w:tc>
        <w:tc>
          <w:tcPr>
            <w:tcW w:w="1237" w:type="dxa"/>
            <w:tcBorders>
              <w:top w:val="single" w:color="auto" w:sz="4" w:space="0"/>
              <w:left w:val="nil"/>
              <w:bottom w:val="single" w:color="auto" w:sz="4" w:space="0"/>
              <w:right w:val="nil"/>
            </w:tcBorders>
            <w:shd w:val="clear" w:color="000000" w:fill="D9D9D9"/>
            <w:noWrap/>
            <w:vAlign w:val="bottom"/>
            <w:hideMark/>
          </w:tcPr>
          <w:p w:rsidRPr="002671BE" w:rsidR="00535C32" w:rsidP="00C92621" w:rsidRDefault="00657B3F">
            <w:pPr>
              <w:overflowPunct/>
              <w:autoSpaceDE/>
              <w:autoSpaceDN/>
              <w:adjustRightInd/>
              <w:jc w:val="right"/>
              <w:textAlignment w:val="auto"/>
              <w:rPr>
                <w:rFonts w:ascii="Verdana" w:hAnsi="Verdana" w:cs="Calibri"/>
                <w:szCs w:val="18"/>
                <w:lang w:eastAsia="en-GB"/>
              </w:rPr>
            </w:pPr>
            <w:r>
              <w:rPr>
                <w:rFonts w:ascii="Verdana" w:hAnsi="Verdana" w:cs="Calibri"/>
                <w:szCs w:val="18"/>
                <w:lang w:eastAsia="en-GB"/>
              </w:rPr>
              <w:t>98,200</w:t>
            </w:r>
          </w:p>
        </w:tc>
        <w:tc>
          <w:tcPr>
            <w:tcW w:w="1580" w:type="dxa"/>
            <w:tcBorders>
              <w:top w:val="single" w:color="auto" w:sz="4" w:space="0"/>
              <w:left w:val="nil"/>
              <w:bottom w:val="single" w:color="auto" w:sz="4" w:space="0"/>
              <w:right w:val="single" w:color="auto" w:sz="4" w:space="0"/>
            </w:tcBorders>
            <w:shd w:val="clear" w:color="000000" w:fill="D9D9D9"/>
            <w:noWrap/>
            <w:vAlign w:val="bottom"/>
            <w:hideMark/>
          </w:tcPr>
          <w:p w:rsidRPr="002671BE" w:rsidR="00535C32" w:rsidP="00657B3F" w:rsidRDefault="00535C32">
            <w:pPr>
              <w:overflowPunct/>
              <w:autoSpaceDE/>
              <w:autoSpaceDN/>
              <w:adjustRightInd/>
              <w:jc w:val="right"/>
              <w:textAlignment w:val="auto"/>
              <w:rPr>
                <w:rFonts w:ascii="Verdana" w:hAnsi="Verdana" w:cs="Calibri"/>
                <w:szCs w:val="18"/>
                <w:lang w:eastAsia="en-GB"/>
              </w:rPr>
            </w:pPr>
            <w:r w:rsidRPr="002671BE">
              <w:rPr>
                <w:rFonts w:ascii="Verdana" w:hAnsi="Verdana" w:cs="Calibri"/>
                <w:szCs w:val="18"/>
                <w:lang w:eastAsia="en-GB"/>
              </w:rPr>
              <w:t>(</w:t>
            </w:r>
            <w:r w:rsidR="00657B3F">
              <w:rPr>
                <w:rFonts w:ascii="Verdana" w:hAnsi="Verdana" w:cs="Calibri"/>
                <w:szCs w:val="18"/>
                <w:lang w:eastAsia="en-GB"/>
              </w:rPr>
              <w:t>734</w:t>
            </w:r>
            <w:r w:rsidRPr="002671BE">
              <w:rPr>
                <w:rFonts w:ascii="Verdana" w:hAnsi="Verdana" w:cs="Calibri"/>
                <w:szCs w:val="18"/>
                <w:lang w:eastAsia="en-GB"/>
              </w:rPr>
              <w:t>)</w:t>
            </w:r>
          </w:p>
        </w:tc>
      </w:tr>
    </w:tbl>
    <w:p w:rsidRPr="008B41ED" w:rsidR="00FA64BE" w:rsidP="00965D6F" w:rsidRDefault="00FA64BE">
      <w:pPr>
        <w:pStyle w:val="Heading1"/>
        <w:numPr>
          <w:ilvl w:val="0"/>
          <w:numId w:val="0"/>
        </w:numPr>
        <w:rPr>
          <w:rFonts w:ascii="Verdana" w:hAnsi="Verdana" w:cs="Arial"/>
          <w:sz w:val="26"/>
          <w:szCs w:val="26"/>
          <w:highlight w:val="yellow"/>
        </w:rPr>
      </w:pPr>
    </w:p>
    <w:p w:rsidRPr="008B41ED" w:rsidR="00965D6F" w:rsidP="00965D6F" w:rsidRDefault="00FA64BE">
      <w:pPr>
        <w:pStyle w:val="Heading1"/>
        <w:numPr>
          <w:ilvl w:val="0"/>
          <w:numId w:val="0"/>
        </w:numPr>
        <w:rPr>
          <w:rFonts w:ascii="Verdana" w:hAnsi="Verdana"/>
          <w:bCs/>
          <w:highlight w:val="yellow"/>
        </w:rPr>
      </w:pPr>
      <w:r w:rsidRPr="008B41ED">
        <w:rPr>
          <w:rFonts w:ascii="Verdana" w:hAnsi="Verdana" w:cs="Arial"/>
          <w:sz w:val="26"/>
          <w:szCs w:val="26"/>
          <w:highlight w:val="yellow"/>
        </w:rPr>
        <w:br w:type="page"/>
      </w:r>
      <w:r w:rsidRPr="009E3579" w:rsidR="00965D6F">
        <w:rPr>
          <w:rFonts w:ascii="Verdana" w:hAnsi="Verdana" w:cs="Arial"/>
          <w:sz w:val="26"/>
          <w:szCs w:val="26"/>
        </w:rPr>
        <w:t>Notes – continued</w:t>
      </w:r>
    </w:p>
    <w:p w:rsidRPr="008B41ED" w:rsidR="00965D6F" w:rsidP="00B93486" w:rsidRDefault="00965D6F">
      <w:pPr>
        <w:rPr>
          <w:rFonts w:ascii="Verdana" w:hAnsi="Verdana"/>
          <w:b/>
          <w:sz w:val="20"/>
          <w:highlight w:val="yellow"/>
        </w:rPr>
      </w:pPr>
    </w:p>
    <w:p w:rsidRPr="0054543B" w:rsidR="00B93486" w:rsidP="00B93486" w:rsidRDefault="00ED0D15">
      <w:pPr>
        <w:rPr>
          <w:rFonts w:ascii="Verdana" w:hAnsi="Verdana"/>
          <w:b/>
          <w:sz w:val="20"/>
        </w:rPr>
      </w:pPr>
      <w:r w:rsidRPr="0054543B">
        <w:rPr>
          <w:rFonts w:ascii="Verdana" w:hAnsi="Verdana"/>
          <w:b/>
          <w:sz w:val="20"/>
        </w:rPr>
        <w:t>1</w:t>
      </w:r>
      <w:r w:rsidRPr="0054543B" w:rsidR="004C030C">
        <w:rPr>
          <w:rFonts w:ascii="Verdana" w:hAnsi="Verdana"/>
          <w:b/>
          <w:sz w:val="20"/>
        </w:rPr>
        <w:t>4</w:t>
      </w:r>
      <w:r w:rsidRPr="0054543B" w:rsidR="00D84816">
        <w:rPr>
          <w:rFonts w:ascii="Verdana" w:hAnsi="Verdana"/>
          <w:b/>
          <w:sz w:val="20"/>
        </w:rPr>
        <w:t xml:space="preserve">.  </w:t>
      </w:r>
      <w:r w:rsidRPr="0054543B" w:rsidR="00FF668D">
        <w:rPr>
          <w:rFonts w:ascii="Verdana" w:hAnsi="Verdana"/>
          <w:b/>
          <w:sz w:val="20"/>
        </w:rPr>
        <w:t xml:space="preserve">Analysis of </w:t>
      </w:r>
      <w:r w:rsidRPr="0054543B" w:rsidR="005C65BC">
        <w:rPr>
          <w:rFonts w:ascii="Verdana" w:hAnsi="Verdana"/>
          <w:b/>
          <w:sz w:val="20"/>
        </w:rPr>
        <w:t xml:space="preserve">adjustments to </w:t>
      </w:r>
      <w:r w:rsidRPr="0054543B" w:rsidR="00FF668D">
        <w:rPr>
          <w:rFonts w:ascii="Verdana" w:hAnsi="Verdana"/>
          <w:b/>
          <w:sz w:val="20"/>
        </w:rPr>
        <w:t>cash flows</w:t>
      </w:r>
    </w:p>
    <w:p w:rsidRPr="0054543B" w:rsidR="00881BFC" w:rsidP="00B93486" w:rsidRDefault="00881BFC">
      <w:pPr>
        <w:rPr>
          <w:rFonts w:ascii="Verdana" w:hAnsi="Verdana"/>
          <w:b/>
          <w:sz w:val="20"/>
        </w:rPr>
      </w:pPr>
    </w:p>
    <w:tbl>
      <w:tblPr>
        <w:tblW w:w="9556" w:type="dxa"/>
        <w:tblInd w:w="108" w:type="dxa"/>
        <w:shd w:val="clear" w:color="000000" w:fill="F2F2F2"/>
        <w:tblLook w:val="04A0" w:firstRow="1" w:lastRow="0" w:firstColumn="1" w:lastColumn="0" w:noHBand="0" w:noVBand="1"/>
      </w:tblPr>
      <w:tblGrid>
        <w:gridCol w:w="4596"/>
        <w:gridCol w:w="2176"/>
        <w:gridCol w:w="1234"/>
        <w:gridCol w:w="316"/>
        <w:gridCol w:w="1234"/>
      </w:tblGrid>
      <w:tr w:rsidRPr="002671BE" w:rsidR="00881BFC" w:rsidTr="000454CB">
        <w:trPr>
          <w:trHeight w:val="300"/>
        </w:trPr>
        <w:tc>
          <w:tcPr>
            <w:tcW w:w="4596" w:type="dxa"/>
            <w:shd w:val="clear" w:color="000000" w:fill="F2F2F2"/>
            <w:noWrap/>
            <w:vAlign w:val="bottom"/>
            <w:hideMark/>
          </w:tcPr>
          <w:p w:rsidRPr="002671BE" w:rsidR="00881BFC" w:rsidP="00881BFC" w:rsidRDefault="00881BFC">
            <w:pPr>
              <w:overflowPunct/>
              <w:autoSpaceDE/>
              <w:autoSpaceDN/>
              <w:adjustRightInd/>
              <w:jc w:val="left"/>
              <w:textAlignment w:val="auto"/>
              <w:rPr>
                <w:rFonts w:ascii="Verdana" w:hAnsi="Verdana" w:cs="Calibri"/>
                <w:sz w:val="20"/>
                <w:lang w:eastAsia="en-GB"/>
              </w:rPr>
            </w:pPr>
            <w:r w:rsidRPr="002671BE">
              <w:rPr>
                <w:rFonts w:ascii="Verdana" w:hAnsi="Verdana" w:cs="Calibri"/>
                <w:sz w:val="20"/>
                <w:lang w:eastAsia="en-GB"/>
              </w:rPr>
              <w:t> </w:t>
            </w:r>
          </w:p>
        </w:tc>
        <w:tc>
          <w:tcPr>
            <w:tcW w:w="2176" w:type="dxa"/>
            <w:shd w:val="clear" w:color="000000" w:fill="F2F2F2"/>
            <w:noWrap/>
            <w:vAlign w:val="bottom"/>
            <w:hideMark/>
          </w:tcPr>
          <w:p w:rsidRPr="002671BE" w:rsidR="00881BFC" w:rsidP="00881BFC" w:rsidRDefault="00881BFC">
            <w:pPr>
              <w:overflowPunct/>
              <w:autoSpaceDE/>
              <w:autoSpaceDN/>
              <w:adjustRightInd/>
              <w:jc w:val="left"/>
              <w:textAlignment w:val="auto"/>
              <w:rPr>
                <w:rFonts w:ascii="Verdana" w:hAnsi="Verdana" w:cs="Calibri"/>
                <w:sz w:val="20"/>
                <w:lang w:eastAsia="en-GB"/>
              </w:rPr>
            </w:pPr>
            <w:r w:rsidRPr="002671BE">
              <w:rPr>
                <w:rFonts w:ascii="Verdana" w:hAnsi="Verdana" w:cs="Calibri"/>
                <w:sz w:val="20"/>
                <w:lang w:eastAsia="en-GB"/>
              </w:rPr>
              <w:t> </w:t>
            </w:r>
          </w:p>
        </w:tc>
        <w:tc>
          <w:tcPr>
            <w:tcW w:w="1234" w:type="dxa"/>
            <w:shd w:val="clear" w:color="000000" w:fill="F2F2F2"/>
            <w:noWrap/>
            <w:vAlign w:val="bottom"/>
            <w:hideMark/>
          </w:tcPr>
          <w:p w:rsidRPr="002671BE" w:rsidR="00881BFC" w:rsidP="00881BFC" w:rsidRDefault="00881BFC">
            <w:pPr>
              <w:overflowPunct/>
              <w:autoSpaceDE/>
              <w:autoSpaceDN/>
              <w:adjustRightInd/>
              <w:jc w:val="left"/>
              <w:textAlignment w:val="auto"/>
              <w:rPr>
                <w:rFonts w:ascii="Verdana" w:hAnsi="Verdana" w:cs="Calibri"/>
                <w:sz w:val="20"/>
                <w:lang w:eastAsia="en-GB"/>
              </w:rPr>
            </w:pPr>
            <w:r w:rsidRPr="002671BE">
              <w:rPr>
                <w:rFonts w:ascii="Verdana" w:hAnsi="Verdana" w:cs="Calibri"/>
                <w:sz w:val="20"/>
                <w:lang w:eastAsia="en-GB"/>
              </w:rPr>
              <w:t> </w:t>
            </w:r>
          </w:p>
        </w:tc>
        <w:tc>
          <w:tcPr>
            <w:tcW w:w="316" w:type="dxa"/>
            <w:shd w:val="clear" w:color="000000" w:fill="F2F2F2"/>
            <w:noWrap/>
            <w:vAlign w:val="bottom"/>
            <w:hideMark/>
          </w:tcPr>
          <w:p w:rsidRPr="002671BE" w:rsidR="00881BFC" w:rsidP="00881BFC" w:rsidRDefault="00881BFC">
            <w:pPr>
              <w:overflowPunct/>
              <w:autoSpaceDE/>
              <w:autoSpaceDN/>
              <w:adjustRightInd/>
              <w:jc w:val="left"/>
              <w:textAlignment w:val="auto"/>
              <w:rPr>
                <w:rFonts w:ascii="Verdana" w:hAnsi="Verdana" w:cs="Calibri"/>
                <w:sz w:val="20"/>
                <w:lang w:eastAsia="en-GB"/>
              </w:rPr>
            </w:pPr>
            <w:r w:rsidRPr="002671BE">
              <w:rPr>
                <w:rFonts w:ascii="Verdana" w:hAnsi="Verdana" w:cs="Calibri"/>
                <w:sz w:val="20"/>
                <w:lang w:eastAsia="en-GB"/>
              </w:rPr>
              <w:t> </w:t>
            </w:r>
          </w:p>
        </w:tc>
        <w:tc>
          <w:tcPr>
            <w:tcW w:w="1234" w:type="dxa"/>
            <w:shd w:val="clear" w:color="000000" w:fill="F2F2F2"/>
            <w:noWrap/>
            <w:vAlign w:val="bottom"/>
            <w:hideMark/>
          </w:tcPr>
          <w:p w:rsidRPr="002671BE" w:rsidR="00881BFC" w:rsidP="00881BFC" w:rsidRDefault="00881BFC">
            <w:pPr>
              <w:overflowPunct/>
              <w:autoSpaceDE/>
              <w:autoSpaceDN/>
              <w:adjustRightInd/>
              <w:jc w:val="left"/>
              <w:textAlignment w:val="auto"/>
              <w:rPr>
                <w:rFonts w:ascii="Verdana" w:hAnsi="Verdana" w:cs="Calibri"/>
                <w:sz w:val="20"/>
                <w:lang w:eastAsia="en-GB"/>
              </w:rPr>
            </w:pPr>
            <w:r w:rsidRPr="002671BE">
              <w:rPr>
                <w:rFonts w:ascii="Verdana" w:hAnsi="Verdana" w:cs="Calibri"/>
                <w:sz w:val="20"/>
                <w:lang w:eastAsia="en-GB"/>
              </w:rPr>
              <w:t> </w:t>
            </w:r>
          </w:p>
        </w:tc>
      </w:tr>
      <w:tr w:rsidRPr="002671BE" w:rsidR="00881BFC" w:rsidTr="000454CB">
        <w:trPr>
          <w:trHeight w:val="300"/>
        </w:trPr>
        <w:tc>
          <w:tcPr>
            <w:tcW w:w="4596" w:type="dxa"/>
            <w:shd w:val="clear" w:color="000000" w:fill="F2F2F2"/>
            <w:noWrap/>
            <w:vAlign w:val="center"/>
            <w:hideMark/>
          </w:tcPr>
          <w:p w:rsidRPr="002671BE" w:rsidR="00881BFC" w:rsidP="00881BFC" w:rsidRDefault="00881BFC">
            <w:pPr>
              <w:overflowPunct/>
              <w:autoSpaceDE/>
              <w:autoSpaceDN/>
              <w:adjustRightInd/>
              <w:jc w:val="left"/>
              <w:textAlignment w:val="auto"/>
              <w:rPr>
                <w:rFonts w:ascii="Verdana" w:hAnsi="Verdana" w:cs="Calibri"/>
                <w:b/>
                <w:bCs/>
                <w:sz w:val="20"/>
                <w:lang w:eastAsia="en-GB"/>
              </w:rPr>
            </w:pPr>
            <w:r w:rsidRPr="002671BE">
              <w:rPr>
                <w:rFonts w:ascii="Verdana" w:hAnsi="Verdana" w:cs="Calibri"/>
                <w:b/>
                <w:bCs/>
                <w:sz w:val="20"/>
                <w:lang w:eastAsia="en-GB"/>
              </w:rPr>
              <w:t>Returns on investment and servicing of finance</w:t>
            </w:r>
          </w:p>
        </w:tc>
        <w:tc>
          <w:tcPr>
            <w:tcW w:w="2176" w:type="dxa"/>
            <w:shd w:val="clear" w:color="000000" w:fill="F2F2F2"/>
            <w:noWrap/>
            <w:vAlign w:val="center"/>
            <w:hideMark/>
          </w:tcPr>
          <w:p w:rsidRPr="002671BE" w:rsidR="00881BFC" w:rsidP="00881BFC" w:rsidRDefault="00881BFC">
            <w:pPr>
              <w:overflowPunct/>
              <w:autoSpaceDE/>
              <w:autoSpaceDN/>
              <w:adjustRightInd/>
              <w:jc w:val="center"/>
              <w:textAlignment w:val="auto"/>
              <w:rPr>
                <w:rFonts w:ascii="Verdana" w:hAnsi="Verdana" w:cs="Calibri"/>
                <w:b/>
                <w:bCs/>
                <w:sz w:val="20"/>
                <w:lang w:eastAsia="en-GB"/>
              </w:rPr>
            </w:pPr>
            <w:r w:rsidRPr="002671BE">
              <w:rPr>
                <w:rFonts w:ascii="Verdana" w:hAnsi="Verdana" w:cs="Calibri"/>
                <w:b/>
                <w:bCs/>
                <w:sz w:val="20"/>
                <w:lang w:eastAsia="en-GB"/>
              </w:rPr>
              <w:t> </w:t>
            </w:r>
          </w:p>
        </w:tc>
        <w:tc>
          <w:tcPr>
            <w:tcW w:w="1234" w:type="dxa"/>
            <w:shd w:val="clear" w:color="000000" w:fill="F2F2F2"/>
            <w:noWrap/>
            <w:vAlign w:val="center"/>
            <w:hideMark/>
          </w:tcPr>
          <w:p w:rsidRPr="002671BE" w:rsidR="00881BFC" w:rsidP="00A331D9" w:rsidRDefault="00881BFC">
            <w:pPr>
              <w:overflowPunct/>
              <w:autoSpaceDE/>
              <w:autoSpaceDN/>
              <w:adjustRightInd/>
              <w:textAlignment w:val="auto"/>
              <w:rPr>
                <w:rFonts w:ascii="Verdana" w:hAnsi="Verdana" w:cs="Calibri"/>
                <w:b/>
                <w:bCs/>
                <w:sz w:val="20"/>
                <w:lang w:eastAsia="en-GB"/>
              </w:rPr>
            </w:pPr>
            <w:r w:rsidRPr="002671BE">
              <w:rPr>
                <w:rFonts w:ascii="Verdana" w:hAnsi="Verdana" w:cs="Calibri"/>
                <w:b/>
                <w:bCs/>
                <w:sz w:val="20"/>
                <w:lang w:eastAsia="en-GB"/>
              </w:rPr>
              <w:t>201</w:t>
            </w:r>
            <w:r w:rsidR="003B0A24">
              <w:rPr>
                <w:rFonts w:ascii="Verdana" w:hAnsi="Verdana" w:cs="Calibri"/>
                <w:b/>
                <w:bCs/>
                <w:sz w:val="20"/>
                <w:lang w:eastAsia="en-GB"/>
              </w:rPr>
              <w:t>7</w:t>
            </w:r>
            <w:r w:rsidRPr="002671BE">
              <w:rPr>
                <w:rFonts w:ascii="Verdana" w:hAnsi="Verdana" w:cs="Calibri"/>
                <w:b/>
                <w:bCs/>
                <w:sz w:val="20"/>
                <w:lang w:eastAsia="en-GB"/>
              </w:rPr>
              <w:t>-1</w:t>
            </w:r>
            <w:r w:rsidR="00A331D9">
              <w:rPr>
                <w:rFonts w:ascii="Verdana" w:hAnsi="Verdana" w:cs="Calibri"/>
                <w:b/>
                <w:bCs/>
                <w:sz w:val="20"/>
                <w:lang w:eastAsia="en-GB"/>
              </w:rPr>
              <w:t>8</w:t>
            </w:r>
          </w:p>
        </w:tc>
        <w:tc>
          <w:tcPr>
            <w:tcW w:w="316" w:type="dxa"/>
            <w:shd w:val="clear" w:color="000000" w:fill="F2F2F2"/>
            <w:noWrap/>
            <w:vAlign w:val="center"/>
            <w:hideMark/>
          </w:tcPr>
          <w:p w:rsidRPr="002671BE" w:rsidR="00881BFC" w:rsidP="00881BFC" w:rsidRDefault="00881BFC">
            <w:pPr>
              <w:overflowPunct/>
              <w:autoSpaceDE/>
              <w:autoSpaceDN/>
              <w:adjustRightInd/>
              <w:jc w:val="center"/>
              <w:textAlignment w:val="auto"/>
              <w:rPr>
                <w:rFonts w:ascii="Verdana" w:hAnsi="Verdana" w:cs="Calibri"/>
                <w:b/>
                <w:bCs/>
                <w:sz w:val="20"/>
                <w:lang w:eastAsia="en-GB"/>
              </w:rPr>
            </w:pPr>
            <w:r w:rsidRPr="002671BE">
              <w:rPr>
                <w:rFonts w:ascii="Verdana" w:hAnsi="Verdana" w:cs="Calibri"/>
                <w:b/>
                <w:bCs/>
                <w:sz w:val="20"/>
                <w:lang w:eastAsia="en-GB"/>
              </w:rPr>
              <w:t> </w:t>
            </w:r>
          </w:p>
        </w:tc>
        <w:tc>
          <w:tcPr>
            <w:tcW w:w="1234" w:type="dxa"/>
            <w:shd w:val="clear" w:color="000000" w:fill="F2F2F2"/>
            <w:noWrap/>
            <w:vAlign w:val="center"/>
            <w:hideMark/>
          </w:tcPr>
          <w:p w:rsidRPr="002671BE" w:rsidR="00881BFC" w:rsidP="00A331D9" w:rsidRDefault="00881BFC">
            <w:pPr>
              <w:overflowPunct/>
              <w:autoSpaceDE/>
              <w:autoSpaceDN/>
              <w:adjustRightInd/>
              <w:textAlignment w:val="auto"/>
              <w:rPr>
                <w:rFonts w:ascii="Verdana" w:hAnsi="Verdana" w:cs="Calibri"/>
                <w:b/>
                <w:bCs/>
                <w:sz w:val="20"/>
                <w:lang w:eastAsia="en-GB"/>
              </w:rPr>
            </w:pPr>
            <w:r w:rsidRPr="002671BE">
              <w:rPr>
                <w:rFonts w:ascii="Verdana" w:hAnsi="Verdana" w:cs="Calibri"/>
                <w:b/>
                <w:bCs/>
                <w:sz w:val="20"/>
                <w:lang w:eastAsia="en-GB"/>
              </w:rPr>
              <w:t>201</w:t>
            </w:r>
            <w:r w:rsidR="00A331D9">
              <w:rPr>
                <w:rFonts w:ascii="Verdana" w:hAnsi="Verdana" w:cs="Calibri"/>
                <w:b/>
                <w:bCs/>
                <w:sz w:val="20"/>
                <w:lang w:eastAsia="en-GB"/>
              </w:rPr>
              <w:t>6</w:t>
            </w:r>
            <w:r w:rsidRPr="002671BE">
              <w:rPr>
                <w:rFonts w:ascii="Verdana" w:hAnsi="Verdana" w:cs="Calibri"/>
                <w:b/>
                <w:bCs/>
                <w:sz w:val="20"/>
                <w:lang w:eastAsia="en-GB"/>
              </w:rPr>
              <w:t>-</w:t>
            </w:r>
            <w:r w:rsidR="00A331D9">
              <w:rPr>
                <w:rFonts w:ascii="Verdana" w:hAnsi="Verdana" w:cs="Calibri"/>
                <w:b/>
                <w:bCs/>
                <w:sz w:val="20"/>
                <w:lang w:eastAsia="en-GB"/>
              </w:rPr>
              <w:t>17</w:t>
            </w:r>
          </w:p>
        </w:tc>
      </w:tr>
      <w:tr w:rsidRPr="002671BE" w:rsidR="00881BFC" w:rsidTr="000454CB">
        <w:trPr>
          <w:trHeight w:val="300"/>
        </w:trPr>
        <w:tc>
          <w:tcPr>
            <w:tcW w:w="4596" w:type="dxa"/>
            <w:shd w:val="clear" w:color="000000" w:fill="F2F2F2"/>
            <w:noWrap/>
            <w:vAlign w:val="center"/>
            <w:hideMark/>
          </w:tcPr>
          <w:p w:rsidRPr="002671BE" w:rsidR="00881BFC" w:rsidP="00881BFC" w:rsidRDefault="00881BFC">
            <w:pPr>
              <w:overflowPunct/>
              <w:autoSpaceDE/>
              <w:autoSpaceDN/>
              <w:adjustRightInd/>
              <w:jc w:val="center"/>
              <w:textAlignment w:val="auto"/>
              <w:rPr>
                <w:rFonts w:ascii="Verdana" w:hAnsi="Verdana" w:cs="Calibri"/>
                <w:b/>
                <w:bCs/>
                <w:sz w:val="20"/>
                <w:lang w:eastAsia="en-GB"/>
              </w:rPr>
            </w:pPr>
            <w:r w:rsidRPr="002671BE">
              <w:rPr>
                <w:rFonts w:ascii="Verdana" w:hAnsi="Verdana" w:cs="Calibri"/>
                <w:b/>
                <w:bCs/>
                <w:sz w:val="20"/>
                <w:lang w:eastAsia="en-GB"/>
              </w:rPr>
              <w:t> </w:t>
            </w:r>
          </w:p>
        </w:tc>
        <w:tc>
          <w:tcPr>
            <w:tcW w:w="2176" w:type="dxa"/>
            <w:shd w:val="clear" w:color="000000" w:fill="F2F2F2"/>
            <w:noWrap/>
            <w:vAlign w:val="center"/>
            <w:hideMark/>
          </w:tcPr>
          <w:p w:rsidRPr="002671BE" w:rsidR="00881BFC" w:rsidP="00881BFC" w:rsidRDefault="00881BFC">
            <w:pPr>
              <w:overflowPunct/>
              <w:autoSpaceDE/>
              <w:autoSpaceDN/>
              <w:adjustRightInd/>
              <w:jc w:val="center"/>
              <w:textAlignment w:val="auto"/>
              <w:rPr>
                <w:rFonts w:ascii="Verdana" w:hAnsi="Verdana" w:cs="Calibri"/>
                <w:b/>
                <w:bCs/>
                <w:sz w:val="20"/>
                <w:lang w:eastAsia="en-GB"/>
              </w:rPr>
            </w:pPr>
            <w:r w:rsidRPr="002671BE">
              <w:rPr>
                <w:rFonts w:ascii="Verdana" w:hAnsi="Verdana" w:cs="Calibri"/>
                <w:b/>
                <w:bCs/>
                <w:sz w:val="20"/>
                <w:lang w:eastAsia="en-GB"/>
              </w:rPr>
              <w:t> </w:t>
            </w:r>
          </w:p>
        </w:tc>
        <w:tc>
          <w:tcPr>
            <w:tcW w:w="1234" w:type="dxa"/>
            <w:shd w:val="clear" w:color="000000" w:fill="F2F2F2"/>
            <w:noWrap/>
            <w:vAlign w:val="center"/>
            <w:hideMark/>
          </w:tcPr>
          <w:p w:rsidRPr="002671BE" w:rsidR="00881BFC" w:rsidP="00881BFC" w:rsidRDefault="00881BFC">
            <w:pPr>
              <w:overflowPunct/>
              <w:autoSpaceDE/>
              <w:autoSpaceDN/>
              <w:adjustRightInd/>
              <w:jc w:val="center"/>
              <w:textAlignment w:val="auto"/>
              <w:rPr>
                <w:rFonts w:ascii="Verdana" w:hAnsi="Verdana" w:cs="Calibri"/>
                <w:b/>
                <w:bCs/>
                <w:sz w:val="20"/>
                <w:lang w:eastAsia="en-GB"/>
              </w:rPr>
            </w:pPr>
            <w:r w:rsidRPr="002671BE">
              <w:rPr>
                <w:rFonts w:ascii="Verdana" w:hAnsi="Verdana" w:cs="Calibri"/>
                <w:b/>
                <w:bCs/>
                <w:sz w:val="20"/>
                <w:lang w:eastAsia="en-GB"/>
              </w:rPr>
              <w:t>£</w:t>
            </w:r>
          </w:p>
        </w:tc>
        <w:tc>
          <w:tcPr>
            <w:tcW w:w="316" w:type="dxa"/>
            <w:shd w:val="clear" w:color="000000" w:fill="F2F2F2"/>
            <w:noWrap/>
            <w:vAlign w:val="center"/>
            <w:hideMark/>
          </w:tcPr>
          <w:p w:rsidRPr="002671BE" w:rsidR="00881BFC" w:rsidP="00881BFC" w:rsidRDefault="00881BFC">
            <w:pPr>
              <w:overflowPunct/>
              <w:autoSpaceDE/>
              <w:autoSpaceDN/>
              <w:adjustRightInd/>
              <w:jc w:val="center"/>
              <w:textAlignment w:val="auto"/>
              <w:rPr>
                <w:rFonts w:ascii="Verdana" w:hAnsi="Verdana" w:cs="Calibri"/>
                <w:b/>
                <w:bCs/>
                <w:sz w:val="20"/>
                <w:lang w:eastAsia="en-GB"/>
              </w:rPr>
            </w:pPr>
            <w:r w:rsidRPr="002671BE">
              <w:rPr>
                <w:rFonts w:ascii="Verdana" w:hAnsi="Verdana" w:cs="Calibri"/>
                <w:b/>
                <w:bCs/>
                <w:sz w:val="20"/>
                <w:lang w:eastAsia="en-GB"/>
              </w:rPr>
              <w:t> </w:t>
            </w:r>
          </w:p>
        </w:tc>
        <w:tc>
          <w:tcPr>
            <w:tcW w:w="1234" w:type="dxa"/>
            <w:shd w:val="clear" w:color="000000" w:fill="F2F2F2"/>
            <w:noWrap/>
            <w:vAlign w:val="center"/>
            <w:hideMark/>
          </w:tcPr>
          <w:p w:rsidRPr="002671BE" w:rsidR="00881BFC" w:rsidP="00881BFC" w:rsidRDefault="00881BFC">
            <w:pPr>
              <w:overflowPunct/>
              <w:autoSpaceDE/>
              <w:autoSpaceDN/>
              <w:adjustRightInd/>
              <w:jc w:val="center"/>
              <w:textAlignment w:val="auto"/>
              <w:rPr>
                <w:rFonts w:ascii="Verdana" w:hAnsi="Verdana" w:cs="Calibri"/>
                <w:b/>
                <w:bCs/>
                <w:sz w:val="20"/>
                <w:lang w:eastAsia="en-GB"/>
              </w:rPr>
            </w:pPr>
            <w:r w:rsidRPr="002671BE">
              <w:rPr>
                <w:rFonts w:ascii="Verdana" w:hAnsi="Verdana" w:cs="Calibri"/>
                <w:b/>
                <w:bCs/>
                <w:sz w:val="20"/>
                <w:lang w:eastAsia="en-GB"/>
              </w:rPr>
              <w:t>£</w:t>
            </w:r>
          </w:p>
        </w:tc>
      </w:tr>
      <w:tr w:rsidRPr="002671BE" w:rsidR="00881BFC" w:rsidTr="000454CB">
        <w:trPr>
          <w:trHeight w:val="300"/>
        </w:trPr>
        <w:tc>
          <w:tcPr>
            <w:tcW w:w="4596" w:type="dxa"/>
            <w:shd w:val="clear" w:color="000000" w:fill="F2F2F2"/>
            <w:noWrap/>
            <w:vAlign w:val="bottom"/>
            <w:hideMark/>
          </w:tcPr>
          <w:p w:rsidRPr="002671BE" w:rsidR="00881BFC" w:rsidP="00881BFC" w:rsidRDefault="00881BFC">
            <w:pPr>
              <w:overflowPunct/>
              <w:autoSpaceDE/>
              <w:autoSpaceDN/>
              <w:adjustRightInd/>
              <w:jc w:val="left"/>
              <w:textAlignment w:val="auto"/>
              <w:rPr>
                <w:rFonts w:ascii="Verdana" w:hAnsi="Verdana" w:cs="Calibri"/>
                <w:sz w:val="20"/>
                <w:lang w:eastAsia="en-GB"/>
              </w:rPr>
            </w:pPr>
            <w:r w:rsidRPr="002671BE">
              <w:rPr>
                <w:rFonts w:ascii="Verdana" w:hAnsi="Verdana" w:cs="Calibri"/>
                <w:sz w:val="20"/>
                <w:lang w:eastAsia="en-GB"/>
              </w:rPr>
              <w:t> </w:t>
            </w:r>
          </w:p>
        </w:tc>
        <w:tc>
          <w:tcPr>
            <w:tcW w:w="2176" w:type="dxa"/>
            <w:shd w:val="clear" w:color="000000" w:fill="F2F2F2"/>
            <w:noWrap/>
            <w:vAlign w:val="bottom"/>
            <w:hideMark/>
          </w:tcPr>
          <w:p w:rsidRPr="002671BE" w:rsidR="00881BFC" w:rsidP="00881BFC" w:rsidRDefault="00881BFC">
            <w:pPr>
              <w:overflowPunct/>
              <w:autoSpaceDE/>
              <w:autoSpaceDN/>
              <w:adjustRightInd/>
              <w:jc w:val="left"/>
              <w:textAlignment w:val="auto"/>
              <w:rPr>
                <w:rFonts w:ascii="Verdana" w:hAnsi="Verdana" w:cs="Calibri"/>
                <w:sz w:val="20"/>
                <w:lang w:eastAsia="en-GB"/>
              </w:rPr>
            </w:pPr>
            <w:r w:rsidRPr="002671BE">
              <w:rPr>
                <w:rFonts w:ascii="Verdana" w:hAnsi="Verdana" w:cs="Calibri"/>
                <w:sz w:val="20"/>
                <w:lang w:eastAsia="en-GB"/>
              </w:rPr>
              <w:t> </w:t>
            </w:r>
          </w:p>
        </w:tc>
        <w:tc>
          <w:tcPr>
            <w:tcW w:w="1234" w:type="dxa"/>
            <w:shd w:val="clear" w:color="000000" w:fill="F2F2F2"/>
            <w:noWrap/>
            <w:vAlign w:val="bottom"/>
            <w:hideMark/>
          </w:tcPr>
          <w:p w:rsidRPr="002671BE" w:rsidR="00881BFC" w:rsidP="00881BFC" w:rsidRDefault="00881BFC">
            <w:pPr>
              <w:overflowPunct/>
              <w:autoSpaceDE/>
              <w:autoSpaceDN/>
              <w:adjustRightInd/>
              <w:jc w:val="left"/>
              <w:textAlignment w:val="auto"/>
              <w:rPr>
                <w:rFonts w:ascii="Verdana" w:hAnsi="Verdana" w:cs="Calibri"/>
                <w:sz w:val="20"/>
                <w:lang w:eastAsia="en-GB"/>
              </w:rPr>
            </w:pPr>
            <w:r w:rsidRPr="002671BE">
              <w:rPr>
                <w:rFonts w:ascii="Verdana" w:hAnsi="Verdana" w:cs="Calibri"/>
                <w:sz w:val="20"/>
                <w:lang w:eastAsia="en-GB"/>
              </w:rPr>
              <w:t> </w:t>
            </w:r>
          </w:p>
        </w:tc>
        <w:tc>
          <w:tcPr>
            <w:tcW w:w="316" w:type="dxa"/>
            <w:shd w:val="clear" w:color="000000" w:fill="F2F2F2"/>
            <w:noWrap/>
            <w:vAlign w:val="bottom"/>
            <w:hideMark/>
          </w:tcPr>
          <w:p w:rsidRPr="002671BE" w:rsidR="00881BFC" w:rsidP="00881BFC" w:rsidRDefault="00881BFC">
            <w:pPr>
              <w:overflowPunct/>
              <w:autoSpaceDE/>
              <w:autoSpaceDN/>
              <w:adjustRightInd/>
              <w:jc w:val="left"/>
              <w:textAlignment w:val="auto"/>
              <w:rPr>
                <w:rFonts w:ascii="Verdana" w:hAnsi="Verdana" w:cs="Calibri"/>
                <w:sz w:val="20"/>
                <w:lang w:eastAsia="en-GB"/>
              </w:rPr>
            </w:pPr>
            <w:r w:rsidRPr="002671BE">
              <w:rPr>
                <w:rFonts w:ascii="Verdana" w:hAnsi="Verdana" w:cs="Calibri"/>
                <w:sz w:val="20"/>
                <w:lang w:eastAsia="en-GB"/>
              </w:rPr>
              <w:t> </w:t>
            </w:r>
          </w:p>
        </w:tc>
        <w:tc>
          <w:tcPr>
            <w:tcW w:w="1234" w:type="dxa"/>
            <w:shd w:val="clear" w:color="000000" w:fill="F2F2F2"/>
            <w:noWrap/>
            <w:vAlign w:val="bottom"/>
            <w:hideMark/>
          </w:tcPr>
          <w:p w:rsidRPr="002671BE" w:rsidR="00881BFC" w:rsidP="00881BFC" w:rsidRDefault="00881BFC">
            <w:pPr>
              <w:overflowPunct/>
              <w:autoSpaceDE/>
              <w:autoSpaceDN/>
              <w:adjustRightInd/>
              <w:jc w:val="left"/>
              <w:textAlignment w:val="auto"/>
              <w:rPr>
                <w:rFonts w:ascii="Verdana" w:hAnsi="Verdana" w:cs="Calibri"/>
                <w:sz w:val="20"/>
                <w:lang w:eastAsia="en-GB"/>
              </w:rPr>
            </w:pPr>
            <w:r w:rsidRPr="002671BE">
              <w:rPr>
                <w:rFonts w:ascii="Verdana" w:hAnsi="Verdana" w:cs="Calibri"/>
                <w:sz w:val="20"/>
                <w:lang w:eastAsia="en-GB"/>
              </w:rPr>
              <w:t> </w:t>
            </w:r>
          </w:p>
        </w:tc>
      </w:tr>
      <w:tr w:rsidRPr="002671BE" w:rsidR="002B4DB8" w:rsidTr="002B4DB8">
        <w:trPr>
          <w:trHeight w:val="300"/>
        </w:trPr>
        <w:tc>
          <w:tcPr>
            <w:tcW w:w="4596" w:type="dxa"/>
            <w:shd w:val="clear" w:color="000000" w:fill="F2F2F2"/>
            <w:noWrap/>
            <w:vAlign w:val="bottom"/>
            <w:hideMark/>
          </w:tcPr>
          <w:p w:rsidRPr="002671BE" w:rsidR="002B4DB8" w:rsidP="00881BFC" w:rsidRDefault="002B4DB8">
            <w:pPr>
              <w:overflowPunct/>
              <w:autoSpaceDE/>
              <w:autoSpaceDN/>
              <w:adjustRightInd/>
              <w:jc w:val="left"/>
              <w:textAlignment w:val="auto"/>
              <w:rPr>
                <w:rFonts w:ascii="Verdana" w:hAnsi="Verdana" w:cs="Calibri"/>
                <w:sz w:val="20"/>
                <w:lang w:eastAsia="en-GB"/>
              </w:rPr>
            </w:pPr>
            <w:r w:rsidRPr="002671BE">
              <w:rPr>
                <w:rFonts w:ascii="Verdana" w:hAnsi="Verdana" w:cs="Calibri"/>
                <w:sz w:val="20"/>
                <w:lang w:eastAsia="en-GB"/>
              </w:rPr>
              <w:t>Interest receivable from bank</w:t>
            </w:r>
          </w:p>
        </w:tc>
        <w:tc>
          <w:tcPr>
            <w:tcW w:w="2176" w:type="dxa"/>
            <w:shd w:val="clear" w:color="000000" w:fill="F2F2F2"/>
            <w:noWrap/>
            <w:vAlign w:val="bottom"/>
            <w:hideMark/>
          </w:tcPr>
          <w:p w:rsidRPr="002671BE" w:rsidR="002B4DB8" w:rsidP="00881BFC" w:rsidRDefault="002B4DB8">
            <w:pPr>
              <w:overflowPunct/>
              <w:autoSpaceDE/>
              <w:autoSpaceDN/>
              <w:adjustRightInd/>
              <w:jc w:val="left"/>
              <w:textAlignment w:val="auto"/>
              <w:rPr>
                <w:rFonts w:ascii="Verdana" w:hAnsi="Verdana" w:cs="Calibri"/>
                <w:sz w:val="20"/>
                <w:lang w:eastAsia="en-GB"/>
              </w:rPr>
            </w:pPr>
            <w:r w:rsidRPr="002671BE">
              <w:rPr>
                <w:rFonts w:ascii="Verdana" w:hAnsi="Verdana" w:cs="Calibri"/>
                <w:sz w:val="20"/>
                <w:lang w:eastAsia="en-GB"/>
              </w:rPr>
              <w:t> </w:t>
            </w:r>
          </w:p>
        </w:tc>
        <w:tc>
          <w:tcPr>
            <w:tcW w:w="1234" w:type="dxa"/>
            <w:shd w:val="clear" w:color="000000" w:fill="F2F2F2"/>
            <w:noWrap/>
            <w:vAlign w:val="bottom"/>
            <w:hideMark/>
          </w:tcPr>
          <w:p w:rsidR="002B4DB8" w:rsidP="002B4DB8" w:rsidRDefault="002B4DB8">
            <w:pPr>
              <w:jc w:val="right"/>
              <w:rPr>
                <w:rFonts w:ascii="Verdana" w:hAnsi="Verdana"/>
                <w:color w:val="000000"/>
                <w:sz w:val="20"/>
              </w:rPr>
            </w:pPr>
            <w:r>
              <w:rPr>
                <w:rFonts w:ascii="Verdana" w:hAnsi="Verdana"/>
                <w:color w:val="000000"/>
                <w:sz w:val="20"/>
              </w:rPr>
              <w:t>42,306</w:t>
            </w:r>
          </w:p>
        </w:tc>
        <w:tc>
          <w:tcPr>
            <w:tcW w:w="316" w:type="dxa"/>
            <w:shd w:val="clear" w:color="000000" w:fill="F2F2F2"/>
            <w:noWrap/>
            <w:vAlign w:val="bottom"/>
            <w:hideMark/>
          </w:tcPr>
          <w:p w:rsidRPr="002671BE" w:rsidR="002B4DB8" w:rsidP="00881BFC" w:rsidRDefault="002B4DB8">
            <w:pPr>
              <w:overflowPunct/>
              <w:autoSpaceDE/>
              <w:autoSpaceDN/>
              <w:adjustRightInd/>
              <w:jc w:val="left"/>
              <w:textAlignment w:val="auto"/>
              <w:rPr>
                <w:rFonts w:ascii="Verdana" w:hAnsi="Verdana" w:cs="Calibri"/>
                <w:sz w:val="20"/>
                <w:lang w:eastAsia="en-GB"/>
              </w:rPr>
            </w:pPr>
            <w:r w:rsidRPr="002671BE">
              <w:rPr>
                <w:rFonts w:ascii="Verdana" w:hAnsi="Verdana" w:cs="Calibri"/>
                <w:sz w:val="20"/>
                <w:lang w:eastAsia="en-GB"/>
              </w:rPr>
              <w:t> </w:t>
            </w:r>
          </w:p>
        </w:tc>
        <w:tc>
          <w:tcPr>
            <w:tcW w:w="1234" w:type="dxa"/>
            <w:shd w:val="clear" w:color="000000" w:fill="F2F2F2"/>
            <w:noWrap/>
            <w:vAlign w:val="bottom"/>
            <w:hideMark/>
          </w:tcPr>
          <w:p w:rsidRPr="002671BE" w:rsidR="002B4DB8" w:rsidP="002B4DB8" w:rsidRDefault="002B4DB8">
            <w:pPr>
              <w:overflowPunct/>
              <w:autoSpaceDE/>
              <w:autoSpaceDN/>
              <w:adjustRightInd/>
              <w:jc w:val="right"/>
              <w:textAlignment w:val="auto"/>
              <w:rPr>
                <w:rFonts w:ascii="Verdana" w:hAnsi="Verdana" w:cs="Calibri"/>
                <w:sz w:val="20"/>
                <w:lang w:eastAsia="en-GB"/>
              </w:rPr>
            </w:pPr>
            <w:r w:rsidRPr="002671BE">
              <w:rPr>
                <w:rFonts w:ascii="Verdana" w:hAnsi="Verdana" w:cs="Calibri"/>
                <w:sz w:val="20"/>
                <w:lang w:eastAsia="en-GB"/>
              </w:rPr>
              <w:t>71,044</w:t>
            </w:r>
          </w:p>
        </w:tc>
      </w:tr>
      <w:tr w:rsidRPr="002671BE" w:rsidR="002B4DB8" w:rsidTr="002B4DB8">
        <w:trPr>
          <w:trHeight w:val="300"/>
        </w:trPr>
        <w:tc>
          <w:tcPr>
            <w:tcW w:w="4596" w:type="dxa"/>
            <w:shd w:val="clear" w:color="000000" w:fill="F2F2F2"/>
            <w:noWrap/>
            <w:vAlign w:val="bottom"/>
            <w:hideMark/>
          </w:tcPr>
          <w:p w:rsidRPr="002671BE" w:rsidR="002B4DB8" w:rsidP="00881BFC" w:rsidRDefault="002B4DB8">
            <w:pPr>
              <w:overflowPunct/>
              <w:autoSpaceDE/>
              <w:autoSpaceDN/>
              <w:adjustRightInd/>
              <w:jc w:val="left"/>
              <w:textAlignment w:val="auto"/>
              <w:rPr>
                <w:rFonts w:ascii="Verdana" w:hAnsi="Verdana" w:cs="Calibri"/>
                <w:sz w:val="20"/>
                <w:lang w:eastAsia="en-GB"/>
              </w:rPr>
            </w:pPr>
            <w:r w:rsidRPr="002671BE">
              <w:rPr>
                <w:rFonts w:ascii="Verdana" w:hAnsi="Verdana" w:cs="Calibri"/>
                <w:sz w:val="20"/>
                <w:lang w:eastAsia="en-GB"/>
              </w:rPr>
              <w:t>Interest receivable from staff</w:t>
            </w:r>
          </w:p>
        </w:tc>
        <w:tc>
          <w:tcPr>
            <w:tcW w:w="2176" w:type="dxa"/>
            <w:shd w:val="clear" w:color="000000" w:fill="F2F2F2"/>
            <w:noWrap/>
            <w:vAlign w:val="bottom"/>
            <w:hideMark/>
          </w:tcPr>
          <w:p w:rsidRPr="002671BE" w:rsidR="002B4DB8" w:rsidP="00881BFC" w:rsidRDefault="002B4DB8">
            <w:pPr>
              <w:overflowPunct/>
              <w:autoSpaceDE/>
              <w:autoSpaceDN/>
              <w:adjustRightInd/>
              <w:jc w:val="left"/>
              <w:textAlignment w:val="auto"/>
              <w:rPr>
                <w:rFonts w:ascii="Verdana" w:hAnsi="Verdana" w:cs="Calibri"/>
                <w:sz w:val="20"/>
                <w:lang w:eastAsia="en-GB"/>
              </w:rPr>
            </w:pPr>
            <w:r w:rsidRPr="002671BE">
              <w:rPr>
                <w:rFonts w:ascii="Verdana" w:hAnsi="Verdana" w:cs="Calibri"/>
                <w:sz w:val="20"/>
                <w:lang w:eastAsia="en-GB"/>
              </w:rPr>
              <w:t> </w:t>
            </w:r>
          </w:p>
        </w:tc>
        <w:tc>
          <w:tcPr>
            <w:tcW w:w="1234" w:type="dxa"/>
            <w:shd w:val="clear" w:color="000000" w:fill="F2F2F2"/>
            <w:noWrap/>
            <w:vAlign w:val="bottom"/>
            <w:hideMark/>
          </w:tcPr>
          <w:p w:rsidR="002B4DB8" w:rsidP="002B4DB8" w:rsidRDefault="002B4DB8">
            <w:pPr>
              <w:jc w:val="right"/>
              <w:rPr>
                <w:rFonts w:ascii="Verdana" w:hAnsi="Verdana"/>
                <w:color w:val="000000"/>
                <w:sz w:val="20"/>
              </w:rPr>
            </w:pPr>
            <w:r>
              <w:rPr>
                <w:rFonts w:ascii="Verdana" w:hAnsi="Verdana"/>
                <w:color w:val="000000"/>
                <w:sz w:val="20"/>
              </w:rPr>
              <w:t>1,082</w:t>
            </w:r>
          </w:p>
        </w:tc>
        <w:tc>
          <w:tcPr>
            <w:tcW w:w="316" w:type="dxa"/>
            <w:shd w:val="clear" w:color="000000" w:fill="F2F2F2"/>
            <w:noWrap/>
            <w:vAlign w:val="bottom"/>
            <w:hideMark/>
          </w:tcPr>
          <w:p w:rsidRPr="002671BE" w:rsidR="002B4DB8" w:rsidP="00881BFC" w:rsidRDefault="002B4DB8">
            <w:pPr>
              <w:overflowPunct/>
              <w:autoSpaceDE/>
              <w:autoSpaceDN/>
              <w:adjustRightInd/>
              <w:jc w:val="left"/>
              <w:textAlignment w:val="auto"/>
              <w:rPr>
                <w:rFonts w:ascii="Verdana" w:hAnsi="Verdana" w:cs="Calibri"/>
                <w:sz w:val="20"/>
                <w:lang w:eastAsia="en-GB"/>
              </w:rPr>
            </w:pPr>
            <w:r w:rsidRPr="002671BE">
              <w:rPr>
                <w:rFonts w:ascii="Verdana" w:hAnsi="Verdana" w:cs="Calibri"/>
                <w:sz w:val="20"/>
                <w:lang w:eastAsia="en-GB"/>
              </w:rPr>
              <w:t> </w:t>
            </w:r>
          </w:p>
        </w:tc>
        <w:tc>
          <w:tcPr>
            <w:tcW w:w="1234" w:type="dxa"/>
            <w:shd w:val="clear" w:color="000000" w:fill="F2F2F2"/>
            <w:noWrap/>
            <w:vAlign w:val="bottom"/>
            <w:hideMark/>
          </w:tcPr>
          <w:p w:rsidRPr="002671BE" w:rsidR="002B4DB8" w:rsidP="002B4DB8" w:rsidRDefault="002B4DB8">
            <w:pPr>
              <w:overflowPunct/>
              <w:autoSpaceDE/>
              <w:autoSpaceDN/>
              <w:adjustRightInd/>
              <w:jc w:val="right"/>
              <w:textAlignment w:val="auto"/>
              <w:rPr>
                <w:rFonts w:ascii="Verdana" w:hAnsi="Verdana" w:cs="Calibri"/>
                <w:sz w:val="20"/>
                <w:lang w:eastAsia="en-GB"/>
              </w:rPr>
            </w:pPr>
            <w:r w:rsidRPr="002671BE">
              <w:rPr>
                <w:rFonts w:ascii="Verdana" w:hAnsi="Verdana" w:cs="Calibri"/>
                <w:sz w:val="20"/>
                <w:lang w:eastAsia="en-GB"/>
              </w:rPr>
              <w:t>1,339</w:t>
            </w:r>
          </w:p>
        </w:tc>
      </w:tr>
      <w:tr w:rsidRPr="002671BE" w:rsidR="002B4DB8" w:rsidTr="002B4DB8">
        <w:trPr>
          <w:trHeight w:val="315"/>
        </w:trPr>
        <w:tc>
          <w:tcPr>
            <w:tcW w:w="4596" w:type="dxa"/>
            <w:shd w:val="clear" w:color="000000" w:fill="F2F2F2"/>
            <w:noWrap/>
            <w:vAlign w:val="bottom"/>
            <w:hideMark/>
          </w:tcPr>
          <w:p w:rsidRPr="002671BE" w:rsidR="002B4DB8" w:rsidP="00881BFC" w:rsidRDefault="002B4DB8">
            <w:pPr>
              <w:overflowPunct/>
              <w:autoSpaceDE/>
              <w:autoSpaceDN/>
              <w:adjustRightInd/>
              <w:jc w:val="left"/>
              <w:textAlignment w:val="auto"/>
              <w:rPr>
                <w:rFonts w:ascii="Verdana" w:hAnsi="Verdana" w:cs="Calibri"/>
                <w:sz w:val="20"/>
                <w:lang w:eastAsia="en-GB"/>
              </w:rPr>
            </w:pPr>
            <w:r w:rsidRPr="002671BE">
              <w:rPr>
                <w:rFonts w:ascii="Verdana" w:hAnsi="Verdana" w:cs="Calibri"/>
                <w:sz w:val="20"/>
                <w:lang w:eastAsia="en-GB"/>
              </w:rPr>
              <w:t> </w:t>
            </w:r>
          </w:p>
        </w:tc>
        <w:tc>
          <w:tcPr>
            <w:tcW w:w="2176" w:type="dxa"/>
            <w:shd w:val="clear" w:color="000000" w:fill="F2F2F2"/>
            <w:noWrap/>
            <w:vAlign w:val="bottom"/>
            <w:hideMark/>
          </w:tcPr>
          <w:p w:rsidRPr="002671BE" w:rsidR="002B4DB8" w:rsidP="00881BFC" w:rsidRDefault="002B4DB8">
            <w:pPr>
              <w:overflowPunct/>
              <w:autoSpaceDE/>
              <w:autoSpaceDN/>
              <w:adjustRightInd/>
              <w:jc w:val="left"/>
              <w:textAlignment w:val="auto"/>
              <w:rPr>
                <w:rFonts w:ascii="Verdana" w:hAnsi="Verdana" w:cs="Calibri"/>
                <w:sz w:val="20"/>
                <w:lang w:eastAsia="en-GB"/>
              </w:rPr>
            </w:pPr>
            <w:r w:rsidRPr="002671BE">
              <w:rPr>
                <w:rFonts w:ascii="Verdana" w:hAnsi="Verdana" w:cs="Calibri"/>
                <w:sz w:val="20"/>
                <w:lang w:eastAsia="en-GB"/>
              </w:rPr>
              <w:t> </w:t>
            </w:r>
          </w:p>
        </w:tc>
        <w:tc>
          <w:tcPr>
            <w:tcW w:w="1234" w:type="dxa"/>
            <w:tcBorders>
              <w:top w:val="single" w:color="auto" w:sz="4" w:space="0"/>
              <w:bottom w:val="single" w:color="auto" w:sz="4" w:space="0"/>
            </w:tcBorders>
            <w:shd w:val="clear" w:color="000000" w:fill="F2F2F2"/>
            <w:noWrap/>
            <w:vAlign w:val="bottom"/>
            <w:hideMark/>
          </w:tcPr>
          <w:p w:rsidR="002B4DB8" w:rsidP="002B4DB8" w:rsidRDefault="002B4DB8">
            <w:pPr>
              <w:jc w:val="right"/>
              <w:rPr>
                <w:rFonts w:ascii="Verdana" w:hAnsi="Verdana"/>
                <w:color w:val="000000"/>
                <w:sz w:val="20"/>
              </w:rPr>
            </w:pPr>
            <w:r>
              <w:rPr>
                <w:rFonts w:ascii="Verdana" w:hAnsi="Verdana"/>
                <w:color w:val="000000"/>
                <w:sz w:val="20"/>
              </w:rPr>
              <w:t>43,388</w:t>
            </w:r>
          </w:p>
        </w:tc>
        <w:tc>
          <w:tcPr>
            <w:tcW w:w="316" w:type="dxa"/>
            <w:tcBorders>
              <w:top w:val="single" w:color="auto" w:sz="4" w:space="0"/>
              <w:bottom w:val="single" w:color="auto" w:sz="4" w:space="0"/>
            </w:tcBorders>
            <w:shd w:val="clear" w:color="000000" w:fill="F2F2F2"/>
            <w:noWrap/>
            <w:vAlign w:val="bottom"/>
            <w:hideMark/>
          </w:tcPr>
          <w:p w:rsidRPr="002671BE" w:rsidR="002B4DB8" w:rsidP="00881BFC" w:rsidRDefault="002B4DB8">
            <w:pPr>
              <w:overflowPunct/>
              <w:autoSpaceDE/>
              <w:autoSpaceDN/>
              <w:adjustRightInd/>
              <w:jc w:val="left"/>
              <w:textAlignment w:val="auto"/>
              <w:rPr>
                <w:rFonts w:ascii="Verdana" w:hAnsi="Verdana" w:cs="Calibri"/>
                <w:sz w:val="20"/>
                <w:lang w:eastAsia="en-GB"/>
              </w:rPr>
            </w:pPr>
            <w:r w:rsidRPr="002671BE">
              <w:rPr>
                <w:rFonts w:ascii="Verdana" w:hAnsi="Verdana" w:cs="Calibri"/>
                <w:sz w:val="20"/>
                <w:lang w:eastAsia="en-GB"/>
              </w:rPr>
              <w:t> </w:t>
            </w:r>
          </w:p>
        </w:tc>
        <w:tc>
          <w:tcPr>
            <w:tcW w:w="1234" w:type="dxa"/>
            <w:tcBorders>
              <w:top w:val="single" w:color="auto" w:sz="4" w:space="0"/>
              <w:bottom w:val="single" w:color="auto" w:sz="4" w:space="0"/>
            </w:tcBorders>
            <w:shd w:val="clear" w:color="000000" w:fill="F2F2F2"/>
            <w:noWrap/>
            <w:vAlign w:val="bottom"/>
            <w:hideMark/>
          </w:tcPr>
          <w:p w:rsidRPr="002671BE" w:rsidR="002B4DB8" w:rsidP="002B4DB8" w:rsidRDefault="002B4DB8">
            <w:pPr>
              <w:overflowPunct/>
              <w:autoSpaceDE/>
              <w:autoSpaceDN/>
              <w:adjustRightInd/>
              <w:jc w:val="right"/>
              <w:textAlignment w:val="auto"/>
              <w:rPr>
                <w:rFonts w:ascii="Verdana" w:hAnsi="Verdana" w:cs="Calibri"/>
                <w:sz w:val="20"/>
                <w:lang w:eastAsia="en-GB"/>
              </w:rPr>
            </w:pPr>
            <w:r>
              <w:rPr>
                <w:rFonts w:ascii="Verdana" w:hAnsi="Verdana" w:cs="Calibri"/>
                <w:sz w:val="20"/>
                <w:lang w:eastAsia="en-GB"/>
              </w:rPr>
              <w:t>72,383</w:t>
            </w:r>
          </w:p>
        </w:tc>
      </w:tr>
    </w:tbl>
    <w:p w:rsidRPr="0054543B" w:rsidR="00881BFC" w:rsidP="00B93486" w:rsidRDefault="00881BFC">
      <w:pPr>
        <w:rPr>
          <w:rFonts w:ascii="Verdana" w:hAnsi="Verdana"/>
          <w:b/>
          <w:sz w:val="20"/>
        </w:rPr>
      </w:pPr>
    </w:p>
    <w:p w:rsidRPr="006B23F6" w:rsidR="00963854" w:rsidP="00965D6F" w:rsidRDefault="00ED0D15">
      <w:pPr>
        <w:pStyle w:val="Heading1"/>
        <w:numPr>
          <w:ilvl w:val="0"/>
          <w:numId w:val="0"/>
        </w:numPr>
        <w:rPr>
          <w:rFonts w:ascii="Verdana" w:hAnsi="Verdana" w:cs="Arial"/>
        </w:rPr>
      </w:pPr>
      <w:r w:rsidRPr="006B23F6">
        <w:rPr>
          <w:rFonts w:ascii="Verdana" w:hAnsi="Verdana" w:cs="Arial"/>
        </w:rPr>
        <w:t>1</w:t>
      </w:r>
      <w:r w:rsidRPr="006B23F6" w:rsidR="004C030C">
        <w:rPr>
          <w:rFonts w:ascii="Verdana" w:hAnsi="Verdana" w:cs="Arial"/>
        </w:rPr>
        <w:t>5</w:t>
      </w:r>
      <w:r w:rsidRPr="006B23F6" w:rsidR="00FF668D">
        <w:rPr>
          <w:rFonts w:ascii="Verdana" w:hAnsi="Verdana" w:cs="Arial"/>
        </w:rPr>
        <w:t xml:space="preserve">. Analysis of </w:t>
      </w:r>
      <w:r w:rsidRPr="006B23F6" w:rsidR="005C65BC">
        <w:rPr>
          <w:rFonts w:ascii="Verdana" w:hAnsi="Verdana" w:cs="Arial"/>
        </w:rPr>
        <w:t xml:space="preserve">movement </w:t>
      </w:r>
      <w:r w:rsidRPr="006B23F6" w:rsidR="00E10CCA">
        <w:rPr>
          <w:rFonts w:ascii="Verdana" w:hAnsi="Verdana" w:cs="Arial"/>
        </w:rPr>
        <w:t xml:space="preserve">of </w:t>
      </w:r>
      <w:r w:rsidRPr="006B23F6" w:rsidR="00FF668D">
        <w:rPr>
          <w:rFonts w:ascii="Verdana" w:hAnsi="Verdana" w:cs="Arial"/>
        </w:rPr>
        <w:t>net funds</w:t>
      </w:r>
    </w:p>
    <w:p w:rsidRPr="006B23F6" w:rsidR="00965D6F" w:rsidP="00D84816" w:rsidRDefault="00965D6F">
      <w:pPr>
        <w:rPr>
          <w:rFonts w:ascii="Verdana" w:hAnsi="Verdana"/>
          <w:b/>
          <w:sz w:val="20"/>
        </w:rPr>
      </w:pPr>
    </w:p>
    <w:tbl>
      <w:tblPr>
        <w:tblW w:w="9356" w:type="dxa"/>
        <w:tblInd w:w="108" w:type="dxa"/>
        <w:shd w:val="clear" w:color="000000" w:fill="F2F2F2"/>
        <w:tblLook w:val="04A0" w:firstRow="1" w:lastRow="0" w:firstColumn="1" w:lastColumn="0" w:noHBand="0" w:noVBand="1"/>
      </w:tblPr>
      <w:tblGrid>
        <w:gridCol w:w="4487"/>
        <w:gridCol w:w="1556"/>
        <w:gridCol w:w="266"/>
        <w:gridCol w:w="1488"/>
        <w:gridCol w:w="283"/>
        <w:gridCol w:w="1276"/>
      </w:tblGrid>
      <w:tr w:rsidRPr="006B23F6" w:rsidR="00913B25" w:rsidTr="006047D8">
        <w:trPr>
          <w:trHeight w:val="300"/>
        </w:trPr>
        <w:tc>
          <w:tcPr>
            <w:tcW w:w="4487" w:type="dxa"/>
            <w:shd w:val="clear" w:color="000000" w:fill="F2F2F2"/>
            <w:vAlign w:val="center"/>
            <w:hideMark/>
          </w:tcPr>
          <w:p w:rsidRPr="006B23F6" w:rsidR="00913B25" w:rsidP="00913B25" w:rsidRDefault="00913B25">
            <w:pPr>
              <w:overflowPunct/>
              <w:autoSpaceDE/>
              <w:autoSpaceDN/>
              <w:adjustRightInd/>
              <w:jc w:val="left"/>
              <w:textAlignment w:val="auto"/>
              <w:rPr>
                <w:color w:val="000000"/>
                <w:sz w:val="20"/>
                <w:lang w:eastAsia="en-GB"/>
              </w:rPr>
            </w:pPr>
            <w:r w:rsidRPr="006B23F6">
              <w:rPr>
                <w:color w:val="000000"/>
                <w:sz w:val="20"/>
                <w:lang w:eastAsia="en-GB"/>
              </w:rPr>
              <w:t> </w:t>
            </w:r>
          </w:p>
        </w:tc>
        <w:tc>
          <w:tcPr>
            <w:tcW w:w="1556" w:type="dxa"/>
            <w:shd w:val="clear" w:color="000000" w:fill="F2F2F2"/>
            <w:vAlign w:val="center"/>
            <w:hideMark/>
          </w:tcPr>
          <w:p w:rsidRPr="006B23F6" w:rsidR="00913B25" w:rsidP="002B4DB8" w:rsidRDefault="00913B25">
            <w:pPr>
              <w:overflowPunct/>
              <w:autoSpaceDE/>
              <w:autoSpaceDN/>
              <w:adjustRightInd/>
              <w:jc w:val="center"/>
              <w:textAlignment w:val="auto"/>
              <w:rPr>
                <w:rFonts w:ascii="Verdana" w:hAnsi="Verdana" w:cs="Calibri"/>
                <w:b/>
                <w:bCs/>
                <w:color w:val="000000"/>
                <w:sz w:val="20"/>
                <w:lang w:eastAsia="en-GB"/>
              </w:rPr>
            </w:pPr>
            <w:r w:rsidRPr="006B23F6">
              <w:rPr>
                <w:rFonts w:ascii="Verdana" w:hAnsi="Verdana" w:cs="Calibri"/>
                <w:b/>
                <w:bCs/>
                <w:color w:val="000000"/>
                <w:sz w:val="20"/>
                <w:lang w:eastAsia="en-GB"/>
              </w:rPr>
              <w:t>201</w:t>
            </w:r>
            <w:r w:rsidR="002B4DB8">
              <w:rPr>
                <w:rFonts w:ascii="Verdana" w:hAnsi="Verdana" w:cs="Calibri"/>
                <w:b/>
                <w:bCs/>
                <w:color w:val="000000"/>
                <w:sz w:val="20"/>
                <w:lang w:eastAsia="en-GB"/>
              </w:rPr>
              <w:t>7</w:t>
            </w:r>
            <w:r w:rsidRPr="006B23F6">
              <w:rPr>
                <w:rFonts w:ascii="Verdana" w:hAnsi="Verdana" w:cs="Calibri"/>
                <w:b/>
                <w:bCs/>
                <w:color w:val="000000"/>
                <w:sz w:val="20"/>
                <w:lang w:eastAsia="en-GB"/>
              </w:rPr>
              <w:t>-1</w:t>
            </w:r>
            <w:r w:rsidR="002B4DB8">
              <w:rPr>
                <w:rFonts w:ascii="Verdana" w:hAnsi="Verdana" w:cs="Calibri"/>
                <w:b/>
                <w:bCs/>
                <w:color w:val="000000"/>
                <w:sz w:val="20"/>
                <w:lang w:eastAsia="en-GB"/>
              </w:rPr>
              <w:t>8</w:t>
            </w:r>
          </w:p>
        </w:tc>
        <w:tc>
          <w:tcPr>
            <w:tcW w:w="266" w:type="dxa"/>
            <w:shd w:val="clear" w:color="000000" w:fill="F2F2F2"/>
            <w:noWrap/>
            <w:vAlign w:val="bottom"/>
            <w:hideMark/>
          </w:tcPr>
          <w:p w:rsidRPr="006B23F6" w:rsidR="00913B25" w:rsidP="00913B25" w:rsidRDefault="00913B25">
            <w:pPr>
              <w:overflowPunct/>
              <w:autoSpaceDE/>
              <w:autoSpaceDN/>
              <w:adjustRightInd/>
              <w:jc w:val="center"/>
              <w:textAlignment w:val="auto"/>
              <w:rPr>
                <w:color w:val="000000"/>
                <w:sz w:val="20"/>
                <w:lang w:eastAsia="en-GB"/>
              </w:rPr>
            </w:pPr>
            <w:r w:rsidRPr="006B23F6">
              <w:rPr>
                <w:color w:val="000000"/>
                <w:sz w:val="20"/>
                <w:lang w:eastAsia="en-GB"/>
              </w:rPr>
              <w:t> </w:t>
            </w:r>
          </w:p>
        </w:tc>
        <w:tc>
          <w:tcPr>
            <w:tcW w:w="1488" w:type="dxa"/>
            <w:shd w:val="clear" w:color="000000" w:fill="F2F2F2"/>
            <w:vAlign w:val="center"/>
            <w:hideMark/>
          </w:tcPr>
          <w:p w:rsidRPr="006B23F6" w:rsidR="00913B25" w:rsidP="00913B25" w:rsidRDefault="00913B25">
            <w:pPr>
              <w:overflowPunct/>
              <w:autoSpaceDE/>
              <w:autoSpaceDN/>
              <w:adjustRightInd/>
              <w:jc w:val="center"/>
              <w:textAlignment w:val="auto"/>
              <w:rPr>
                <w:rFonts w:ascii="Verdana" w:hAnsi="Verdana" w:cs="Calibri"/>
                <w:b/>
                <w:bCs/>
                <w:color w:val="000000"/>
                <w:sz w:val="20"/>
                <w:lang w:eastAsia="en-GB"/>
              </w:rPr>
            </w:pPr>
            <w:r w:rsidRPr="006B23F6">
              <w:rPr>
                <w:rFonts w:ascii="Verdana" w:hAnsi="Verdana" w:cs="Calibri"/>
                <w:b/>
                <w:bCs/>
                <w:color w:val="000000"/>
                <w:sz w:val="20"/>
                <w:lang w:eastAsia="en-GB"/>
              </w:rPr>
              <w:t>Cash flow</w:t>
            </w:r>
          </w:p>
        </w:tc>
        <w:tc>
          <w:tcPr>
            <w:tcW w:w="283" w:type="dxa"/>
            <w:shd w:val="clear" w:color="000000" w:fill="F2F2F2"/>
            <w:noWrap/>
            <w:vAlign w:val="bottom"/>
            <w:hideMark/>
          </w:tcPr>
          <w:p w:rsidRPr="006B23F6" w:rsidR="00913B25" w:rsidP="00913B25" w:rsidRDefault="00913B25">
            <w:pPr>
              <w:overflowPunct/>
              <w:autoSpaceDE/>
              <w:autoSpaceDN/>
              <w:adjustRightInd/>
              <w:jc w:val="center"/>
              <w:textAlignment w:val="auto"/>
              <w:rPr>
                <w:color w:val="000000"/>
                <w:sz w:val="20"/>
                <w:lang w:eastAsia="en-GB"/>
              </w:rPr>
            </w:pPr>
            <w:r w:rsidRPr="006B23F6">
              <w:rPr>
                <w:color w:val="000000"/>
                <w:sz w:val="20"/>
                <w:lang w:eastAsia="en-GB"/>
              </w:rPr>
              <w:t> </w:t>
            </w:r>
          </w:p>
        </w:tc>
        <w:tc>
          <w:tcPr>
            <w:tcW w:w="1276" w:type="dxa"/>
            <w:shd w:val="clear" w:color="000000" w:fill="F2F2F2"/>
            <w:vAlign w:val="center"/>
            <w:hideMark/>
          </w:tcPr>
          <w:p w:rsidRPr="006B23F6" w:rsidR="00913B25" w:rsidP="006B23F6" w:rsidRDefault="00913B25">
            <w:pPr>
              <w:overflowPunct/>
              <w:autoSpaceDE/>
              <w:autoSpaceDN/>
              <w:adjustRightInd/>
              <w:jc w:val="center"/>
              <w:textAlignment w:val="auto"/>
              <w:rPr>
                <w:rFonts w:ascii="Verdana" w:hAnsi="Verdana" w:cs="Calibri"/>
                <w:b/>
                <w:bCs/>
                <w:color w:val="000000"/>
                <w:sz w:val="20"/>
                <w:lang w:eastAsia="en-GB"/>
              </w:rPr>
            </w:pPr>
            <w:r w:rsidRPr="006B23F6">
              <w:rPr>
                <w:rFonts w:ascii="Verdana" w:hAnsi="Verdana" w:cs="Calibri"/>
                <w:b/>
                <w:bCs/>
                <w:color w:val="000000"/>
                <w:sz w:val="20"/>
                <w:lang w:eastAsia="en-GB"/>
              </w:rPr>
              <w:t>201</w:t>
            </w:r>
            <w:r w:rsidRPr="006B23F6" w:rsidR="006B23F6">
              <w:rPr>
                <w:rFonts w:ascii="Verdana" w:hAnsi="Verdana" w:cs="Calibri"/>
                <w:b/>
                <w:bCs/>
                <w:color w:val="000000"/>
                <w:sz w:val="20"/>
                <w:lang w:eastAsia="en-GB"/>
              </w:rPr>
              <w:t>6</w:t>
            </w:r>
            <w:r w:rsidRPr="006B23F6">
              <w:rPr>
                <w:rFonts w:ascii="Verdana" w:hAnsi="Verdana" w:cs="Calibri"/>
                <w:b/>
                <w:bCs/>
                <w:color w:val="000000"/>
                <w:sz w:val="20"/>
                <w:lang w:eastAsia="en-GB"/>
              </w:rPr>
              <w:t>-1</w:t>
            </w:r>
            <w:r w:rsidRPr="006B23F6" w:rsidR="006B23F6">
              <w:rPr>
                <w:rFonts w:ascii="Verdana" w:hAnsi="Verdana" w:cs="Calibri"/>
                <w:b/>
                <w:bCs/>
                <w:color w:val="000000"/>
                <w:sz w:val="20"/>
                <w:lang w:eastAsia="en-GB"/>
              </w:rPr>
              <w:t>7</w:t>
            </w:r>
          </w:p>
        </w:tc>
      </w:tr>
      <w:tr w:rsidRPr="006B23F6" w:rsidR="00913B25" w:rsidTr="006047D8">
        <w:trPr>
          <w:trHeight w:val="300"/>
        </w:trPr>
        <w:tc>
          <w:tcPr>
            <w:tcW w:w="4487" w:type="dxa"/>
            <w:shd w:val="clear" w:color="000000" w:fill="F2F2F2"/>
            <w:vAlign w:val="center"/>
            <w:hideMark/>
          </w:tcPr>
          <w:p w:rsidRPr="006B23F6" w:rsidR="00913B25" w:rsidP="00913B25" w:rsidRDefault="00913B25">
            <w:pPr>
              <w:overflowPunct/>
              <w:autoSpaceDE/>
              <w:autoSpaceDN/>
              <w:adjustRightInd/>
              <w:jc w:val="left"/>
              <w:textAlignment w:val="auto"/>
              <w:rPr>
                <w:color w:val="000000"/>
                <w:sz w:val="20"/>
                <w:lang w:eastAsia="en-GB"/>
              </w:rPr>
            </w:pPr>
            <w:r w:rsidRPr="006B23F6">
              <w:rPr>
                <w:color w:val="000000"/>
                <w:sz w:val="20"/>
                <w:lang w:eastAsia="en-GB"/>
              </w:rPr>
              <w:t> </w:t>
            </w:r>
          </w:p>
        </w:tc>
        <w:tc>
          <w:tcPr>
            <w:tcW w:w="1556" w:type="dxa"/>
            <w:shd w:val="clear" w:color="000000" w:fill="F2F2F2"/>
            <w:vAlign w:val="center"/>
            <w:hideMark/>
          </w:tcPr>
          <w:p w:rsidRPr="006B23F6" w:rsidR="00913B25" w:rsidP="00913B25" w:rsidRDefault="00913B25">
            <w:pPr>
              <w:overflowPunct/>
              <w:autoSpaceDE/>
              <w:autoSpaceDN/>
              <w:adjustRightInd/>
              <w:jc w:val="center"/>
              <w:textAlignment w:val="auto"/>
              <w:rPr>
                <w:rFonts w:ascii="Verdana" w:hAnsi="Verdana" w:cs="Calibri"/>
                <w:b/>
                <w:bCs/>
                <w:color w:val="000000"/>
                <w:sz w:val="20"/>
                <w:lang w:eastAsia="en-GB"/>
              </w:rPr>
            </w:pPr>
            <w:r w:rsidRPr="006B23F6">
              <w:rPr>
                <w:rFonts w:ascii="Verdana" w:hAnsi="Verdana" w:cs="Calibri"/>
                <w:b/>
                <w:bCs/>
                <w:color w:val="000000"/>
                <w:sz w:val="20"/>
                <w:lang w:eastAsia="en-GB"/>
              </w:rPr>
              <w:t>£</w:t>
            </w:r>
          </w:p>
        </w:tc>
        <w:tc>
          <w:tcPr>
            <w:tcW w:w="266" w:type="dxa"/>
            <w:shd w:val="clear" w:color="000000" w:fill="F2F2F2"/>
            <w:noWrap/>
            <w:vAlign w:val="bottom"/>
            <w:hideMark/>
          </w:tcPr>
          <w:p w:rsidRPr="006B23F6" w:rsidR="00913B25" w:rsidP="00913B25" w:rsidRDefault="00913B25">
            <w:pPr>
              <w:overflowPunct/>
              <w:autoSpaceDE/>
              <w:autoSpaceDN/>
              <w:adjustRightInd/>
              <w:jc w:val="center"/>
              <w:textAlignment w:val="auto"/>
              <w:rPr>
                <w:color w:val="000000"/>
                <w:sz w:val="20"/>
                <w:lang w:eastAsia="en-GB"/>
              </w:rPr>
            </w:pPr>
            <w:r w:rsidRPr="006B23F6">
              <w:rPr>
                <w:color w:val="000000"/>
                <w:sz w:val="20"/>
                <w:lang w:eastAsia="en-GB"/>
              </w:rPr>
              <w:t> </w:t>
            </w:r>
          </w:p>
        </w:tc>
        <w:tc>
          <w:tcPr>
            <w:tcW w:w="1488" w:type="dxa"/>
            <w:shd w:val="clear" w:color="000000" w:fill="F2F2F2"/>
            <w:vAlign w:val="center"/>
            <w:hideMark/>
          </w:tcPr>
          <w:p w:rsidRPr="006B23F6" w:rsidR="00913B25" w:rsidP="00913B25" w:rsidRDefault="00913B25">
            <w:pPr>
              <w:overflowPunct/>
              <w:autoSpaceDE/>
              <w:autoSpaceDN/>
              <w:adjustRightInd/>
              <w:jc w:val="center"/>
              <w:textAlignment w:val="auto"/>
              <w:rPr>
                <w:rFonts w:ascii="Verdana" w:hAnsi="Verdana" w:cs="Calibri"/>
                <w:b/>
                <w:bCs/>
                <w:color w:val="000000"/>
                <w:sz w:val="20"/>
                <w:lang w:eastAsia="en-GB"/>
              </w:rPr>
            </w:pPr>
            <w:r w:rsidRPr="006B23F6">
              <w:rPr>
                <w:rFonts w:ascii="Verdana" w:hAnsi="Verdana" w:cs="Calibri"/>
                <w:b/>
                <w:bCs/>
                <w:color w:val="000000"/>
                <w:sz w:val="20"/>
                <w:lang w:eastAsia="en-GB"/>
              </w:rPr>
              <w:t>£</w:t>
            </w:r>
          </w:p>
        </w:tc>
        <w:tc>
          <w:tcPr>
            <w:tcW w:w="283" w:type="dxa"/>
            <w:shd w:val="clear" w:color="000000" w:fill="F2F2F2"/>
            <w:noWrap/>
            <w:vAlign w:val="bottom"/>
            <w:hideMark/>
          </w:tcPr>
          <w:p w:rsidRPr="006B23F6" w:rsidR="00913B25" w:rsidP="00913B25" w:rsidRDefault="00913B25">
            <w:pPr>
              <w:overflowPunct/>
              <w:autoSpaceDE/>
              <w:autoSpaceDN/>
              <w:adjustRightInd/>
              <w:jc w:val="center"/>
              <w:textAlignment w:val="auto"/>
              <w:rPr>
                <w:color w:val="000000"/>
                <w:sz w:val="20"/>
                <w:lang w:eastAsia="en-GB"/>
              </w:rPr>
            </w:pPr>
            <w:r w:rsidRPr="006B23F6">
              <w:rPr>
                <w:color w:val="000000"/>
                <w:sz w:val="20"/>
                <w:lang w:eastAsia="en-GB"/>
              </w:rPr>
              <w:t> </w:t>
            </w:r>
          </w:p>
        </w:tc>
        <w:tc>
          <w:tcPr>
            <w:tcW w:w="1276" w:type="dxa"/>
            <w:shd w:val="clear" w:color="000000" w:fill="F2F2F2"/>
            <w:vAlign w:val="center"/>
            <w:hideMark/>
          </w:tcPr>
          <w:p w:rsidRPr="006B23F6" w:rsidR="00913B25" w:rsidP="00913B25" w:rsidRDefault="00913B25">
            <w:pPr>
              <w:overflowPunct/>
              <w:autoSpaceDE/>
              <w:autoSpaceDN/>
              <w:adjustRightInd/>
              <w:jc w:val="center"/>
              <w:textAlignment w:val="auto"/>
              <w:rPr>
                <w:rFonts w:ascii="Verdana" w:hAnsi="Verdana" w:cs="Calibri"/>
                <w:b/>
                <w:bCs/>
                <w:color w:val="000000"/>
                <w:sz w:val="20"/>
                <w:lang w:eastAsia="en-GB"/>
              </w:rPr>
            </w:pPr>
            <w:r w:rsidRPr="006B23F6">
              <w:rPr>
                <w:rFonts w:ascii="Verdana" w:hAnsi="Verdana" w:cs="Calibri"/>
                <w:b/>
                <w:bCs/>
                <w:color w:val="000000"/>
                <w:sz w:val="20"/>
                <w:lang w:eastAsia="en-GB"/>
              </w:rPr>
              <w:t>£</w:t>
            </w:r>
          </w:p>
        </w:tc>
      </w:tr>
      <w:tr w:rsidRPr="006B23F6" w:rsidR="00913B25" w:rsidTr="006047D8">
        <w:trPr>
          <w:trHeight w:val="300"/>
        </w:trPr>
        <w:tc>
          <w:tcPr>
            <w:tcW w:w="4487" w:type="dxa"/>
            <w:shd w:val="clear" w:color="000000" w:fill="F2F2F2"/>
            <w:vAlign w:val="center"/>
            <w:hideMark/>
          </w:tcPr>
          <w:p w:rsidRPr="006B23F6" w:rsidR="00913B25" w:rsidP="00913B25" w:rsidRDefault="00913B25">
            <w:pPr>
              <w:overflowPunct/>
              <w:autoSpaceDE/>
              <w:autoSpaceDN/>
              <w:adjustRightInd/>
              <w:jc w:val="left"/>
              <w:textAlignment w:val="auto"/>
              <w:rPr>
                <w:color w:val="000000"/>
                <w:sz w:val="20"/>
                <w:lang w:eastAsia="en-GB"/>
              </w:rPr>
            </w:pPr>
            <w:r w:rsidRPr="006B23F6">
              <w:rPr>
                <w:color w:val="000000"/>
                <w:sz w:val="20"/>
                <w:lang w:eastAsia="en-GB"/>
              </w:rPr>
              <w:t> </w:t>
            </w:r>
          </w:p>
        </w:tc>
        <w:tc>
          <w:tcPr>
            <w:tcW w:w="1556" w:type="dxa"/>
            <w:shd w:val="clear" w:color="000000" w:fill="F2F2F2"/>
            <w:vAlign w:val="center"/>
            <w:hideMark/>
          </w:tcPr>
          <w:p w:rsidRPr="006B23F6" w:rsidR="00913B25" w:rsidP="00913B25" w:rsidRDefault="00913B25">
            <w:pPr>
              <w:overflowPunct/>
              <w:autoSpaceDE/>
              <w:autoSpaceDN/>
              <w:adjustRightInd/>
              <w:jc w:val="right"/>
              <w:textAlignment w:val="auto"/>
              <w:rPr>
                <w:rFonts w:ascii="Verdana" w:hAnsi="Verdana" w:cs="Calibri"/>
                <w:b/>
                <w:bCs/>
                <w:color w:val="000000"/>
                <w:sz w:val="20"/>
                <w:lang w:eastAsia="en-GB"/>
              </w:rPr>
            </w:pPr>
            <w:r w:rsidRPr="006B23F6">
              <w:rPr>
                <w:rFonts w:ascii="Verdana" w:hAnsi="Verdana" w:cs="Calibri"/>
                <w:b/>
                <w:bCs/>
                <w:color w:val="000000"/>
                <w:sz w:val="20"/>
                <w:lang w:eastAsia="en-GB"/>
              </w:rPr>
              <w:t> </w:t>
            </w:r>
          </w:p>
        </w:tc>
        <w:tc>
          <w:tcPr>
            <w:tcW w:w="266" w:type="dxa"/>
            <w:shd w:val="clear" w:color="000000" w:fill="F2F2F2"/>
            <w:noWrap/>
            <w:vAlign w:val="bottom"/>
            <w:hideMark/>
          </w:tcPr>
          <w:p w:rsidRPr="006B23F6" w:rsidR="00913B25" w:rsidP="00913B25" w:rsidRDefault="00913B25">
            <w:pPr>
              <w:overflowPunct/>
              <w:autoSpaceDE/>
              <w:autoSpaceDN/>
              <w:adjustRightInd/>
              <w:jc w:val="left"/>
              <w:textAlignment w:val="auto"/>
              <w:rPr>
                <w:color w:val="000000"/>
                <w:sz w:val="20"/>
                <w:lang w:eastAsia="en-GB"/>
              </w:rPr>
            </w:pPr>
            <w:r w:rsidRPr="006B23F6">
              <w:rPr>
                <w:color w:val="000000"/>
                <w:sz w:val="20"/>
                <w:lang w:eastAsia="en-GB"/>
              </w:rPr>
              <w:t> </w:t>
            </w:r>
          </w:p>
        </w:tc>
        <w:tc>
          <w:tcPr>
            <w:tcW w:w="1488" w:type="dxa"/>
            <w:shd w:val="clear" w:color="000000" w:fill="F2F2F2"/>
            <w:vAlign w:val="center"/>
            <w:hideMark/>
          </w:tcPr>
          <w:p w:rsidRPr="006B23F6" w:rsidR="00913B25" w:rsidP="00913B25" w:rsidRDefault="00913B25">
            <w:pPr>
              <w:overflowPunct/>
              <w:autoSpaceDE/>
              <w:autoSpaceDN/>
              <w:adjustRightInd/>
              <w:jc w:val="left"/>
              <w:textAlignment w:val="auto"/>
              <w:rPr>
                <w:color w:val="000000"/>
                <w:sz w:val="20"/>
                <w:lang w:eastAsia="en-GB"/>
              </w:rPr>
            </w:pPr>
            <w:r w:rsidRPr="006B23F6">
              <w:rPr>
                <w:color w:val="000000"/>
                <w:sz w:val="20"/>
                <w:lang w:eastAsia="en-GB"/>
              </w:rPr>
              <w:t> </w:t>
            </w:r>
          </w:p>
        </w:tc>
        <w:tc>
          <w:tcPr>
            <w:tcW w:w="283" w:type="dxa"/>
            <w:shd w:val="clear" w:color="000000" w:fill="F2F2F2"/>
            <w:noWrap/>
            <w:vAlign w:val="bottom"/>
            <w:hideMark/>
          </w:tcPr>
          <w:p w:rsidRPr="006B23F6" w:rsidR="00913B25" w:rsidP="00913B25" w:rsidRDefault="00913B25">
            <w:pPr>
              <w:overflowPunct/>
              <w:autoSpaceDE/>
              <w:autoSpaceDN/>
              <w:adjustRightInd/>
              <w:jc w:val="left"/>
              <w:textAlignment w:val="auto"/>
              <w:rPr>
                <w:color w:val="000000"/>
                <w:sz w:val="20"/>
                <w:lang w:eastAsia="en-GB"/>
              </w:rPr>
            </w:pPr>
            <w:r w:rsidRPr="006B23F6">
              <w:rPr>
                <w:color w:val="000000"/>
                <w:sz w:val="20"/>
                <w:lang w:eastAsia="en-GB"/>
              </w:rPr>
              <w:t> </w:t>
            </w:r>
          </w:p>
        </w:tc>
        <w:tc>
          <w:tcPr>
            <w:tcW w:w="1276" w:type="dxa"/>
            <w:shd w:val="clear" w:color="000000" w:fill="F2F2F2"/>
            <w:vAlign w:val="center"/>
            <w:hideMark/>
          </w:tcPr>
          <w:p w:rsidRPr="006B23F6" w:rsidR="00913B25" w:rsidP="00913B25" w:rsidRDefault="00913B25">
            <w:pPr>
              <w:overflowPunct/>
              <w:autoSpaceDE/>
              <w:autoSpaceDN/>
              <w:adjustRightInd/>
              <w:jc w:val="left"/>
              <w:textAlignment w:val="auto"/>
              <w:rPr>
                <w:color w:val="000000"/>
                <w:sz w:val="20"/>
                <w:lang w:eastAsia="en-GB"/>
              </w:rPr>
            </w:pPr>
            <w:r w:rsidRPr="006B23F6">
              <w:rPr>
                <w:color w:val="000000"/>
                <w:sz w:val="20"/>
                <w:lang w:eastAsia="en-GB"/>
              </w:rPr>
              <w:t> </w:t>
            </w:r>
          </w:p>
        </w:tc>
      </w:tr>
      <w:tr w:rsidRPr="008B41ED" w:rsidR="00913B25" w:rsidTr="006047D8">
        <w:trPr>
          <w:trHeight w:val="300"/>
        </w:trPr>
        <w:tc>
          <w:tcPr>
            <w:tcW w:w="4487" w:type="dxa"/>
            <w:shd w:val="clear" w:color="000000" w:fill="F2F2F2"/>
            <w:vAlign w:val="center"/>
            <w:hideMark/>
          </w:tcPr>
          <w:p w:rsidRPr="006B23F6" w:rsidR="00913B25" w:rsidP="00913B25" w:rsidRDefault="00913B25">
            <w:pPr>
              <w:overflowPunct/>
              <w:autoSpaceDE/>
              <w:autoSpaceDN/>
              <w:adjustRightInd/>
              <w:textAlignment w:val="auto"/>
              <w:rPr>
                <w:rFonts w:ascii="Verdana" w:hAnsi="Verdana" w:cs="Calibri"/>
                <w:color w:val="000000"/>
                <w:sz w:val="20"/>
                <w:lang w:eastAsia="en-GB"/>
              </w:rPr>
            </w:pPr>
            <w:r w:rsidRPr="006B23F6">
              <w:rPr>
                <w:rFonts w:ascii="Verdana" w:hAnsi="Verdana" w:cs="Calibri"/>
                <w:color w:val="000000"/>
                <w:sz w:val="20"/>
                <w:lang w:eastAsia="en-GB"/>
              </w:rPr>
              <w:t>Cash in hand &amp; at bank</w:t>
            </w:r>
          </w:p>
        </w:tc>
        <w:tc>
          <w:tcPr>
            <w:tcW w:w="1556" w:type="dxa"/>
            <w:shd w:val="clear" w:color="000000" w:fill="F2F2F2"/>
            <w:vAlign w:val="center"/>
            <w:hideMark/>
          </w:tcPr>
          <w:p w:rsidRPr="006B23F6" w:rsidR="00913B25" w:rsidP="002B4DB8" w:rsidRDefault="002B4DB8">
            <w:pPr>
              <w:overflowPunct/>
              <w:autoSpaceDE/>
              <w:autoSpaceDN/>
              <w:adjustRightInd/>
              <w:jc w:val="right"/>
              <w:textAlignment w:val="auto"/>
              <w:rPr>
                <w:rFonts w:ascii="Verdana" w:hAnsi="Verdana" w:cs="Calibri"/>
                <w:color w:val="000000"/>
                <w:sz w:val="20"/>
                <w:lang w:eastAsia="en-GB"/>
              </w:rPr>
            </w:pPr>
            <w:r>
              <w:rPr>
                <w:rFonts w:ascii="Verdana" w:hAnsi="Verdana" w:cs="Calibri"/>
                <w:color w:val="000000"/>
                <w:sz w:val="20"/>
                <w:lang w:eastAsia="en-GB"/>
              </w:rPr>
              <w:t>6</w:t>
            </w:r>
            <w:r w:rsidR="003B0A24">
              <w:rPr>
                <w:rFonts w:ascii="Verdana" w:hAnsi="Verdana" w:cs="Calibri"/>
                <w:color w:val="000000"/>
                <w:sz w:val="20"/>
                <w:lang w:eastAsia="en-GB"/>
              </w:rPr>
              <w:t>,</w:t>
            </w:r>
            <w:r>
              <w:rPr>
                <w:rFonts w:ascii="Verdana" w:hAnsi="Verdana" w:cs="Calibri"/>
                <w:color w:val="000000"/>
                <w:sz w:val="20"/>
                <w:lang w:eastAsia="en-GB"/>
              </w:rPr>
              <w:t>446</w:t>
            </w:r>
            <w:r w:rsidRPr="006B23F6" w:rsidR="006B23F6">
              <w:rPr>
                <w:rFonts w:ascii="Verdana" w:hAnsi="Verdana" w:cs="Calibri"/>
                <w:color w:val="000000"/>
                <w:sz w:val="20"/>
                <w:lang w:eastAsia="en-GB"/>
              </w:rPr>
              <w:t>,</w:t>
            </w:r>
            <w:r>
              <w:rPr>
                <w:rFonts w:ascii="Verdana" w:hAnsi="Verdana" w:cs="Calibri"/>
                <w:color w:val="000000"/>
                <w:sz w:val="20"/>
                <w:lang w:eastAsia="en-GB"/>
              </w:rPr>
              <w:t>579</w:t>
            </w:r>
          </w:p>
        </w:tc>
        <w:tc>
          <w:tcPr>
            <w:tcW w:w="266" w:type="dxa"/>
            <w:shd w:val="clear" w:color="000000" w:fill="F2F2F2"/>
            <w:noWrap/>
            <w:vAlign w:val="bottom"/>
            <w:hideMark/>
          </w:tcPr>
          <w:p w:rsidRPr="006B23F6" w:rsidR="00913B25" w:rsidP="00913B25" w:rsidRDefault="00913B25">
            <w:pPr>
              <w:overflowPunct/>
              <w:autoSpaceDE/>
              <w:autoSpaceDN/>
              <w:adjustRightInd/>
              <w:jc w:val="left"/>
              <w:textAlignment w:val="auto"/>
              <w:rPr>
                <w:color w:val="000000"/>
                <w:sz w:val="20"/>
                <w:lang w:eastAsia="en-GB"/>
              </w:rPr>
            </w:pPr>
            <w:r w:rsidRPr="006B23F6">
              <w:rPr>
                <w:color w:val="000000"/>
                <w:sz w:val="20"/>
                <w:lang w:eastAsia="en-GB"/>
              </w:rPr>
              <w:t> </w:t>
            </w:r>
          </w:p>
        </w:tc>
        <w:tc>
          <w:tcPr>
            <w:tcW w:w="1488" w:type="dxa"/>
            <w:shd w:val="clear" w:color="000000" w:fill="F2F2F2"/>
            <w:vAlign w:val="center"/>
            <w:hideMark/>
          </w:tcPr>
          <w:p w:rsidRPr="006B23F6" w:rsidR="00913B25" w:rsidP="002B4DB8" w:rsidRDefault="002B4DB8">
            <w:pPr>
              <w:overflowPunct/>
              <w:autoSpaceDE/>
              <w:autoSpaceDN/>
              <w:adjustRightInd/>
              <w:jc w:val="right"/>
              <w:textAlignment w:val="auto"/>
              <w:rPr>
                <w:rFonts w:ascii="Verdana" w:hAnsi="Verdana" w:cs="Calibri"/>
                <w:color w:val="000000"/>
                <w:sz w:val="20"/>
                <w:lang w:eastAsia="en-GB"/>
              </w:rPr>
            </w:pPr>
            <w:r>
              <w:rPr>
                <w:rFonts w:ascii="Verdana" w:hAnsi="Verdana" w:cs="Calibri"/>
                <w:color w:val="000000"/>
                <w:sz w:val="20"/>
                <w:lang w:eastAsia="en-GB"/>
              </w:rPr>
              <w:t>(1,373,481)</w:t>
            </w:r>
          </w:p>
        </w:tc>
        <w:tc>
          <w:tcPr>
            <w:tcW w:w="283" w:type="dxa"/>
            <w:shd w:val="clear" w:color="000000" w:fill="F2F2F2"/>
            <w:noWrap/>
            <w:vAlign w:val="bottom"/>
            <w:hideMark/>
          </w:tcPr>
          <w:p w:rsidRPr="006B23F6" w:rsidR="00913B25" w:rsidP="00913B25" w:rsidRDefault="00913B25">
            <w:pPr>
              <w:overflowPunct/>
              <w:autoSpaceDE/>
              <w:autoSpaceDN/>
              <w:adjustRightInd/>
              <w:jc w:val="left"/>
              <w:textAlignment w:val="auto"/>
              <w:rPr>
                <w:color w:val="000000"/>
                <w:sz w:val="20"/>
                <w:lang w:eastAsia="en-GB"/>
              </w:rPr>
            </w:pPr>
            <w:r w:rsidRPr="006B23F6">
              <w:rPr>
                <w:color w:val="000000"/>
                <w:sz w:val="20"/>
                <w:lang w:eastAsia="en-GB"/>
              </w:rPr>
              <w:t> </w:t>
            </w:r>
          </w:p>
        </w:tc>
        <w:tc>
          <w:tcPr>
            <w:tcW w:w="1276" w:type="dxa"/>
            <w:shd w:val="clear" w:color="000000" w:fill="F2F2F2"/>
            <w:vAlign w:val="center"/>
            <w:hideMark/>
          </w:tcPr>
          <w:p w:rsidRPr="006B23F6" w:rsidR="00913B25" w:rsidP="006B23F6" w:rsidRDefault="00913B25">
            <w:pPr>
              <w:overflowPunct/>
              <w:autoSpaceDE/>
              <w:autoSpaceDN/>
              <w:adjustRightInd/>
              <w:jc w:val="right"/>
              <w:textAlignment w:val="auto"/>
              <w:rPr>
                <w:rFonts w:ascii="Verdana" w:hAnsi="Verdana" w:cs="Calibri"/>
                <w:color w:val="000000"/>
                <w:sz w:val="20"/>
                <w:lang w:eastAsia="en-GB"/>
              </w:rPr>
            </w:pPr>
            <w:r w:rsidRPr="006B23F6">
              <w:rPr>
                <w:rFonts w:ascii="Verdana" w:hAnsi="Verdana" w:cs="Calibri"/>
                <w:color w:val="000000"/>
                <w:sz w:val="20"/>
                <w:lang w:eastAsia="en-GB"/>
              </w:rPr>
              <w:t>7,</w:t>
            </w:r>
            <w:r w:rsidRPr="006B23F6" w:rsidR="006B23F6">
              <w:rPr>
                <w:rFonts w:ascii="Verdana" w:hAnsi="Verdana" w:cs="Calibri"/>
                <w:color w:val="000000"/>
                <w:sz w:val="20"/>
                <w:lang w:eastAsia="en-GB"/>
              </w:rPr>
              <w:t>820,060</w:t>
            </w:r>
          </w:p>
        </w:tc>
      </w:tr>
    </w:tbl>
    <w:p w:rsidRPr="008B41ED" w:rsidR="00965D6F" w:rsidP="00D84816" w:rsidRDefault="00965D6F">
      <w:pPr>
        <w:rPr>
          <w:rFonts w:ascii="Verdana" w:hAnsi="Verdana"/>
          <w:b/>
          <w:sz w:val="20"/>
          <w:highlight w:val="yellow"/>
        </w:rPr>
      </w:pPr>
    </w:p>
    <w:p w:rsidRPr="008B41ED" w:rsidR="000C6687" w:rsidP="00D84816" w:rsidRDefault="000C6687">
      <w:pPr>
        <w:rPr>
          <w:rFonts w:ascii="Verdana" w:hAnsi="Verdana"/>
          <w:b/>
          <w:sz w:val="20"/>
          <w:highlight w:val="yellow"/>
        </w:rPr>
      </w:pPr>
    </w:p>
    <w:p w:rsidRPr="002271D8" w:rsidR="00D84816" w:rsidP="00D84816" w:rsidRDefault="00C11654">
      <w:pPr>
        <w:rPr>
          <w:rFonts w:ascii="Verdana" w:hAnsi="Verdana"/>
          <w:b/>
          <w:sz w:val="20"/>
        </w:rPr>
      </w:pPr>
      <w:r w:rsidRPr="002271D8">
        <w:rPr>
          <w:rFonts w:ascii="Verdana" w:hAnsi="Verdana"/>
          <w:b/>
          <w:sz w:val="20"/>
        </w:rPr>
        <w:t>1</w:t>
      </w:r>
      <w:r w:rsidRPr="002271D8" w:rsidR="004C030C">
        <w:rPr>
          <w:rFonts w:ascii="Verdana" w:hAnsi="Verdana"/>
          <w:b/>
          <w:sz w:val="20"/>
        </w:rPr>
        <w:t>6</w:t>
      </w:r>
      <w:r w:rsidRPr="002271D8" w:rsidR="00D84816">
        <w:rPr>
          <w:rFonts w:ascii="Verdana" w:hAnsi="Verdana"/>
          <w:b/>
          <w:sz w:val="20"/>
        </w:rPr>
        <w:t>.  Commitments</w:t>
      </w:r>
    </w:p>
    <w:p w:rsidRPr="009B21B7" w:rsidR="00F11784" w:rsidP="00191594" w:rsidRDefault="00F11784">
      <w:pPr>
        <w:rPr>
          <w:rFonts w:ascii="Verdana" w:hAnsi="Verdana"/>
          <w:b/>
          <w:sz w:val="20"/>
          <w:highlight w:val="yellow"/>
        </w:rPr>
      </w:pPr>
    </w:p>
    <w:tbl>
      <w:tblPr>
        <w:tblW w:w="4652" w:type="pct"/>
        <w:tblInd w:w="108" w:type="dxa"/>
        <w:tblLook w:val="0000" w:firstRow="0" w:lastRow="0" w:firstColumn="0" w:lastColumn="0" w:noHBand="0" w:noVBand="0"/>
      </w:tblPr>
      <w:tblGrid>
        <w:gridCol w:w="6262"/>
        <w:gridCol w:w="1491"/>
        <w:gridCol w:w="1496"/>
      </w:tblGrid>
      <w:tr w:rsidRPr="009B21B7" w:rsidR="00F9123C" w:rsidTr="00690AAD">
        <w:trPr>
          <w:trHeight w:val="255"/>
        </w:trPr>
        <w:tc>
          <w:tcPr>
            <w:tcW w:w="3385" w:type="pct"/>
            <w:tcBorders>
              <w:top w:val="nil"/>
              <w:left w:val="nil"/>
              <w:bottom w:val="nil"/>
              <w:right w:val="nil"/>
            </w:tcBorders>
            <w:shd w:val="clear" w:color="auto" w:fill="auto"/>
          </w:tcPr>
          <w:p w:rsidRPr="002271D8" w:rsidR="00F9123C" w:rsidP="00852329" w:rsidRDefault="00F9123C">
            <w:pPr>
              <w:pStyle w:val="NoDecAlign"/>
              <w:tabs>
                <w:tab w:val="clear" w:pos="1021"/>
                <w:tab w:val="decimal" w:pos="1304"/>
              </w:tabs>
              <w:jc w:val="left"/>
              <w:rPr>
                <w:rFonts w:ascii="Verdana" w:hAnsi="Verdana" w:cs="Arial"/>
                <w:b/>
                <w:sz w:val="20"/>
              </w:rPr>
            </w:pPr>
            <w:r w:rsidRPr="002271D8">
              <w:rPr>
                <w:rFonts w:ascii="Verdana" w:hAnsi="Verdana" w:cs="Arial"/>
                <w:b/>
                <w:sz w:val="20"/>
              </w:rPr>
              <w:t>Lease Commitments</w:t>
            </w:r>
          </w:p>
        </w:tc>
        <w:tc>
          <w:tcPr>
            <w:tcW w:w="806" w:type="pct"/>
            <w:tcBorders>
              <w:top w:val="nil"/>
              <w:left w:val="nil"/>
              <w:bottom w:val="nil"/>
              <w:right w:val="nil"/>
            </w:tcBorders>
            <w:shd w:val="clear" w:color="auto" w:fill="auto"/>
          </w:tcPr>
          <w:p w:rsidRPr="009B21B7" w:rsidR="00F9123C" w:rsidP="00733530" w:rsidRDefault="00F9123C">
            <w:pPr>
              <w:overflowPunct/>
              <w:autoSpaceDE/>
              <w:autoSpaceDN/>
              <w:adjustRightInd/>
              <w:jc w:val="right"/>
              <w:textAlignment w:val="auto"/>
              <w:rPr>
                <w:rFonts w:ascii="Verdana" w:hAnsi="Verdana" w:cs="Arial"/>
                <w:b/>
                <w:bCs/>
                <w:sz w:val="20"/>
                <w:highlight w:val="yellow"/>
                <w:lang w:eastAsia="en-GB"/>
              </w:rPr>
            </w:pPr>
            <w:r w:rsidRPr="00733530">
              <w:rPr>
                <w:rFonts w:ascii="Verdana" w:hAnsi="Verdana" w:cs="Arial"/>
                <w:b/>
                <w:bCs/>
                <w:sz w:val="20"/>
                <w:lang w:eastAsia="en-GB"/>
              </w:rPr>
              <w:t>31</w:t>
            </w:r>
            <w:r w:rsidRPr="00733530" w:rsidR="00446B4C">
              <w:rPr>
                <w:rFonts w:ascii="Verdana" w:hAnsi="Verdana" w:cs="Arial"/>
                <w:b/>
                <w:bCs/>
                <w:sz w:val="20"/>
                <w:lang w:eastAsia="en-GB"/>
              </w:rPr>
              <w:t>-Mar-1</w:t>
            </w:r>
            <w:r w:rsidRPr="00733530" w:rsidR="00733530">
              <w:rPr>
                <w:rFonts w:ascii="Verdana" w:hAnsi="Verdana" w:cs="Arial"/>
                <w:b/>
                <w:bCs/>
                <w:sz w:val="20"/>
                <w:lang w:eastAsia="en-GB"/>
              </w:rPr>
              <w:t>8</w:t>
            </w:r>
            <w:r w:rsidRPr="00733530">
              <w:rPr>
                <w:rFonts w:ascii="Verdana" w:hAnsi="Verdana" w:cs="Arial"/>
                <w:b/>
                <w:bCs/>
                <w:sz w:val="20"/>
                <w:lang w:eastAsia="en-GB"/>
              </w:rPr>
              <w:t xml:space="preserve"> </w:t>
            </w:r>
          </w:p>
        </w:tc>
        <w:tc>
          <w:tcPr>
            <w:tcW w:w="809" w:type="pct"/>
            <w:tcBorders>
              <w:top w:val="nil"/>
              <w:left w:val="nil"/>
              <w:bottom w:val="nil"/>
              <w:right w:val="nil"/>
            </w:tcBorders>
          </w:tcPr>
          <w:p w:rsidRPr="002271D8" w:rsidR="00F9123C" w:rsidP="006B23F6" w:rsidRDefault="006B23F6">
            <w:pPr>
              <w:overflowPunct/>
              <w:autoSpaceDE/>
              <w:autoSpaceDN/>
              <w:adjustRightInd/>
              <w:jc w:val="right"/>
              <w:textAlignment w:val="auto"/>
              <w:rPr>
                <w:rFonts w:ascii="Verdana" w:hAnsi="Verdana" w:cs="Arial"/>
                <w:b/>
                <w:bCs/>
                <w:sz w:val="20"/>
                <w:lang w:eastAsia="en-GB"/>
              </w:rPr>
            </w:pPr>
            <w:r w:rsidRPr="002271D8">
              <w:rPr>
                <w:rFonts w:ascii="Verdana" w:hAnsi="Verdana" w:cs="Arial"/>
                <w:b/>
                <w:bCs/>
                <w:sz w:val="20"/>
                <w:lang w:eastAsia="en-GB"/>
              </w:rPr>
              <w:t>31-Mar-16</w:t>
            </w:r>
          </w:p>
        </w:tc>
      </w:tr>
      <w:tr w:rsidRPr="009B21B7" w:rsidR="00F9123C" w:rsidTr="00690AAD">
        <w:trPr>
          <w:trHeight w:val="255"/>
        </w:trPr>
        <w:tc>
          <w:tcPr>
            <w:tcW w:w="3385" w:type="pct"/>
            <w:tcBorders>
              <w:top w:val="nil"/>
              <w:left w:val="nil"/>
              <w:bottom w:val="nil"/>
              <w:right w:val="nil"/>
            </w:tcBorders>
            <w:shd w:val="clear" w:color="auto" w:fill="auto"/>
          </w:tcPr>
          <w:p w:rsidRPr="002271D8" w:rsidR="00F9123C" w:rsidP="00852329" w:rsidRDefault="00F9123C">
            <w:pPr>
              <w:rPr>
                <w:rFonts w:ascii="Verdana" w:hAnsi="Verdana" w:cs="Arial"/>
                <w:sz w:val="20"/>
              </w:rPr>
            </w:pPr>
          </w:p>
        </w:tc>
        <w:tc>
          <w:tcPr>
            <w:tcW w:w="806" w:type="pct"/>
            <w:tcBorders>
              <w:top w:val="nil"/>
              <w:left w:val="nil"/>
              <w:bottom w:val="nil"/>
              <w:right w:val="nil"/>
            </w:tcBorders>
            <w:shd w:val="clear" w:color="auto" w:fill="auto"/>
          </w:tcPr>
          <w:p w:rsidRPr="009B21B7" w:rsidR="00F9123C" w:rsidP="00852329" w:rsidRDefault="00F9123C">
            <w:pPr>
              <w:overflowPunct/>
              <w:autoSpaceDE/>
              <w:autoSpaceDN/>
              <w:adjustRightInd/>
              <w:jc w:val="center"/>
              <w:textAlignment w:val="auto"/>
              <w:rPr>
                <w:rFonts w:ascii="Verdana" w:hAnsi="Verdana" w:cs="Arial"/>
                <w:sz w:val="20"/>
                <w:highlight w:val="yellow"/>
                <w:lang w:eastAsia="en-GB"/>
              </w:rPr>
            </w:pPr>
          </w:p>
        </w:tc>
        <w:tc>
          <w:tcPr>
            <w:tcW w:w="809" w:type="pct"/>
            <w:tcBorders>
              <w:top w:val="nil"/>
              <w:left w:val="nil"/>
              <w:bottom w:val="nil"/>
              <w:right w:val="nil"/>
            </w:tcBorders>
          </w:tcPr>
          <w:p w:rsidRPr="002271D8" w:rsidR="00F9123C" w:rsidP="00852329" w:rsidRDefault="00F9123C">
            <w:pPr>
              <w:overflowPunct/>
              <w:autoSpaceDE/>
              <w:autoSpaceDN/>
              <w:adjustRightInd/>
              <w:jc w:val="center"/>
              <w:textAlignment w:val="auto"/>
              <w:rPr>
                <w:rFonts w:ascii="Verdana" w:hAnsi="Verdana" w:cs="Arial"/>
                <w:sz w:val="20"/>
                <w:lang w:eastAsia="en-GB"/>
              </w:rPr>
            </w:pPr>
          </w:p>
        </w:tc>
      </w:tr>
      <w:tr w:rsidRPr="009B21B7" w:rsidR="00F9123C" w:rsidTr="00690AAD">
        <w:trPr>
          <w:trHeight w:val="255"/>
        </w:trPr>
        <w:tc>
          <w:tcPr>
            <w:tcW w:w="3385" w:type="pct"/>
            <w:tcBorders>
              <w:top w:val="nil"/>
              <w:left w:val="nil"/>
              <w:bottom w:val="nil"/>
              <w:right w:val="nil"/>
            </w:tcBorders>
            <w:shd w:val="clear" w:color="auto" w:fill="auto"/>
          </w:tcPr>
          <w:p w:rsidRPr="002271D8" w:rsidR="00F9123C" w:rsidP="00852329" w:rsidRDefault="00F9123C">
            <w:pPr>
              <w:rPr>
                <w:rFonts w:ascii="Verdana" w:hAnsi="Verdana" w:cs="Arial"/>
                <w:sz w:val="20"/>
              </w:rPr>
            </w:pPr>
            <w:r w:rsidRPr="002271D8">
              <w:rPr>
                <w:rFonts w:ascii="Verdana" w:hAnsi="Verdana" w:cs="Arial"/>
                <w:sz w:val="20"/>
              </w:rPr>
              <w:t>Within one year</w:t>
            </w:r>
          </w:p>
        </w:tc>
        <w:tc>
          <w:tcPr>
            <w:tcW w:w="806" w:type="pct"/>
            <w:tcBorders>
              <w:top w:val="nil"/>
              <w:left w:val="nil"/>
              <w:right w:val="nil"/>
            </w:tcBorders>
            <w:shd w:val="clear" w:color="auto" w:fill="auto"/>
          </w:tcPr>
          <w:p w:rsidRPr="009B21B7" w:rsidR="00F9123C" w:rsidP="00852329" w:rsidRDefault="006B23F6">
            <w:pPr>
              <w:overflowPunct/>
              <w:autoSpaceDE/>
              <w:autoSpaceDN/>
              <w:adjustRightInd/>
              <w:jc w:val="right"/>
              <w:textAlignment w:val="auto"/>
              <w:rPr>
                <w:rFonts w:ascii="Verdana" w:hAnsi="Verdana" w:cs="Arial"/>
                <w:bCs/>
                <w:sz w:val="20"/>
                <w:highlight w:val="yellow"/>
                <w:lang w:eastAsia="en-GB"/>
              </w:rPr>
            </w:pPr>
            <w:r w:rsidRPr="00733530">
              <w:rPr>
                <w:rFonts w:ascii="Verdana" w:hAnsi="Verdana" w:cs="Arial"/>
                <w:bCs/>
                <w:sz w:val="20"/>
                <w:lang w:eastAsia="en-GB"/>
              </w:rPr>
              <w:t>135,000</w:t>
            </w:r>
          </w:p>
        </w:tc>
        <w:tc>
          <w:tcPr>
            <w:tcW w:w="809" w:type="pct"/>
            <w:tcBorders>
              <w:top w:val="nil"/>
              <w:left w:val="nil"/>
              <w:right w:val="nil"/>
            </w:tcBorders>
          </w:tcPr>
          <w:p w:rsidRPr="002271D8" w:rsidR="00F9123C" w:rsidP="00F9123C" w:rsidRDefault="006B23F6">
            <w:pPr>
              <w:overflowPunct/>
              <w:autoSpaceDE/>
              <w:autoSpaceDN/>
              <w:adjustRightInd/>
              <w:jc w:val="right"/>
              <w:textAlignment w:val="auto"/>
              <w:rPr>
                <w:rFonts w:ascii="Verdana" w:hAnsi="Verdana" w:cs="Arial"/>
                <w:bCs/>
                <w:sz w:val="20"/>
                <w:lang w:eastAsia="en-GB"/>
              </w:rPr>
            </w:pPr>
            <w:r w:rsidRPr="002271D8">
              <w:rPr>
                <w:rFonts w:ascii="Verdana" w:hAnsi="Verdana" w:cs="Arial"/>
                <w:bCs/>
                <w:sz w:val="20"/>
                <w:lang w:eastAsia="en-GB"/>
              </w:rPr>
              <w:t>135,000</w:t>
            </w:r>
          </w:p>
        </w:tc>
      </w:tr>
      <w:tr w:rsidRPr="009B21B7" w:rsidR="00F9123C" w:rsidTr="00690AAD">
        <w:trPr>
          <w:trHeight w:val="255"/>
        </w:trPr>
        <w:tc>
          <w:tcPr>
            <w:tcW w:w="3385" w:type="pct"/>
            <w:tcBorders>
              <w:top w:val="nil"/>
              <w:left w:val="nil"/>
              <w:bottom w:val="nil"/>
              <w:right w:val="nil"/>
            </w:tcBorders>
            <w:shd w:val="clear" w:color="auto" w:fill="auto"/>
          </w:tcPr>
          <w:p w:rsidRPr="002271D8" w:rsidR="00F9123C" w:rsidP="00852329" w:rsidRDefault="00F9123C">
            <w:pPr>
              <w:rPr>
                <w:rFonts w:ascii="Verdana" w:hAnsi="Verdana" w:cs="Arial"/>
                <w:sz w:val="20"/>
              </w:rPr>
            </w:pPr>
            <w:r w:rsidRPr="002271D8">
              <w:rPr>
                <w:rFonts w:ascii="Verdana" w:hAnsi="Verdana" w:cs="Arial"/>
                <w:sz w:val="20"/>
              </w:rPr>
              <w:t>Within two to five years</w:t>
            </w:r>
          </w:p>
        </w:tc>
        <w:tc>
          <w:tcPr>
            <w:tcW w:w="806" w:type="pct"/>
            <w:tcBorders>
              <w:left w:val="nil"/>
              <w:right w:val="nil"/>
            </w:tcBorders>
            <w:shd w:val="clear" w:color="auto" w:fill="auto"/>
          </w:tcPr>
          <w:p w:rsidRPr="009B21B7" w:rsidR="00F9123C" w:rsidP="00852329" w:rsidRDefault="006B23F6">
            <w:pPr>
              <w:overflowPunct/>
              <w:autoSpaceDE/>
              <w:autoSpaceDN/>
              <w:adjustRightInd/>
              <w:jc w:val="right"/>
              <w:textAlignment w:val="auto"/>
              <w:rPr>
                <w:rFonts w:ascii="Verdana" w:hAnsi="Verdana" w:cs="Arial"/>
                <w:bCs/>
                <w:sz w:val="20"/>
                <w:highlight w:val="yellow"/>
                <w:lang w:eastAsia="en-GB"/>
              </w:rPr>
            </w:pPr>
            <w:r w:rsidRPr="00733530">
              <w:rPr>
                <w:rFonts w:ascii="Verdana" w:hAnsi="Verdana" w:cs="Arial"/>
                <w:bCs/>
                <w:sz w:val="20"/>
                <w:lang w:eastAsia="en-GB"/>
              </w:rPr>
              <w:t>540,000</w:t>
            </w:r>
          </w:p>
        </w:tc>
        <w:tc>
          <w:tcPr>
            <w:tcW w:w="809" w:type="pct"/>
            <w:tcBorders>
              <w:left w:val="nil"/>
              <w:right w:val="nil"/>
            </w:tcBorders>
          </w:tcPr>
          <w:p w:rsidRPr="002271D8" w:rsidR="00F9123C" w:rsidP="00852329" w:rsidRDefault="006B23F6">
            <w:pPr>
              <w:overflowPunct/>
              <w:autoSpaceDE/>
              <w:autoSpaceDN/>
              <w:adjustRightInd/>
              <w:jc w:val="right"/>
              <w:textAlignment w:val="auto"/>
              <w:rPr>
                <w:rFonts w:ascii="Verdana" w:hAnsi="Verdana" w:cs="Arial"/>
                <w:bCs/>
                <w:sz w:val="20"/>
                <w:lang w:eastAsia="en-GB"/>
              </w:rPr>
            </w:pPr>
            <w:r w:rsidRPr="002271D8">
              <w:rPr>
                <w:rFonts w:ascii="Verdana" w:hAnsi="Verdana" w:cs="Arial"/>
                <w:bCs/>
                <w:sz w:val="20"/>
                <w:lang w:eastAsia="en-GB"/>
              </w:rPr>
              <w:t>540,000</w:t>
            </w:r>
          </w:p>
        </w:tc>
      </w:tr>
      <w:tr w:rsidRPr="006B23F6" w:rsidR="00F9123C" w:rsidTr="00690AAD">
        <w:trPr>
          <w:trHeight w:val="255"/>
        </w:trPr>
        <w:tc>
          <w:tcPr>
            <w:tcW w:w="3385" w:type="pct"/>
            <w:tcBorders>
              <w:top w:val="nil"/>
              <w:left w:val="nil"/>
              <w:bottom w:val="nil"/>
              <w:right w:val="nil"/>
            </w:tcBorders>
            <w:shd w:val="clear" w:color="auto" w:fill="auto"/>
          </w:tcPr>
          <w:p w:rsidRPr="002271D8" w:rsidR="00F9123C" w:rsidP="00852329" w:rsidRDefault="00F9123C">
            <w:pPr>
              <w:rPr>
                <w:rFonts w:ascii="Verdana" w:hAnsi="Verdana" w:cs="Arial"/>
                <w:sz w:val="20"/>
              </w:rPr>
            </w:pPr>
            <w:r w:rsidRPr="002271D8">
              <w:rPr>
                <w:rFonts w:ascii="Verdana" w:hAnsi="Verdana" w:cs="Arial"/>
                <w:sz w:val="20"/>
              </w:rPr>
              <w:t>Over five years</w:t>
            </w:r>
          </w:p>
        </w:tc>
        <w:tc>
          <w:tcPr>
            <w:tcW w:w="806" w:type="pct"/>
            <w:tcBorders>
              <w:left w:val="nil"/>
              <w:right w:val="nil"/>
            </w:tcBorders>
            <w:shd w:val="clear" w:color="auto" w:fill="auto"/>
          </w:tcPr>
          <w:p w:rsidRPr="009B21B7" w:rsidR="00F9123C" w:rsidP="00733530" w:rsidRDefault="00F9123C">
            <w:pPr>
              <w:overflowPunct/>
              <w:autoSpaceDE/>
              <w:autoSpaceDN/>
              <w:adjustRightInd/>
              <w:jc w:val="right"/>
              <w:textAlignment w:val="auto"/>
              <w:rPr>
                <w:rFonts w:ascii="Verdana" w:hAnsi="Verdana" w:cs="Arial"/>
                <w:bCs/>
                <w:sz w:val="20"/>
                <w:highlight w:val="yellow"/>
                <w:lang w:eastAsia="en-GB"/>
              </w:rPr>
            </w:pPr>
            <w:r w:rsidRPr="00733530">
              <w:rPr>
                <w:rFonts w:ascii="Verdana" w:hAnsi="Verdana" w:cs="Arial"/>
                <w:bCs/>
                <w:sz w:val="20"/>
                <w:lang w:eastAsia="en-GB"/>
              </w:rPr>
              <w:t>0</w:t>
            </w:r>
          </w:p>
        </w:tc>
        <w:tc>
          <w:tcPr>
            <w:tcW w:w="809" w:type="pct"/>
            <w:tcBorders>
              <w:left w:val="nil"/>
              <w:right w:val="nil"/>
            </w:tcBorders>
          </w:tcPr>
          <w:p w:rsidRPr="002271D8" w:rsidR="00F9123C" w:rsidP="002271D8" w:rsidRDefault="002271D8">
            <w:pPr>
              <w:overflowPunct/>
              <w:autoSpaceDE/>
              <w:autoSpaceDN/>
              <w:adjustRightInd/>
              <w:jc w:val="right"/>
              <w:textAlignment w:val="auto"/>
              <w:rPr>
                <w:rFonts w:ascii="Verdana" w:hAnsi="Verdana" w:cs="Arial"/>
                <w:bCs/>
                <w:sz w:val="20"/>
                <w:lang w:eastAsia="en-GB"/>
              </w:rPr>
            </w:pPr>
            <w:r w:rsidRPr="002271D8">
              <w:rPr>
                <w:rFonts w:ascii="Verdana" w:hAnsi="Verdana" w:cs="Arial"/>
                <w:bCs/>
                <w:sz w:val="20"/>
                <w:lang w:eastAsia="en-GB"/>
              </w:rPr>
              <w:t>135</w:t>
            </w:r>
            <w:r w:rsidRPr="002271D8" w:rsidR="00F9123C">
              <w:rPr>
                <w:rFonts w:ascii="Verdana" w:hAnsi="Verdana" w:cs="Arial"/>
                <w:bCs/>
                <w:sz w:val="20"/>
                <w:lang w:eastAsia="en-GB"/>
              </w:rPr>
              <w:t>,000</w:t>
            </w:r>
          </w:p>
        </w:tc>
      </w:tr>
    </w:tbl>
    <w:p w:rsidRPr="006B23F6" w:rsidR="00191594" w:rsidP="00191594" w:rsidRDefault="00191594">
      <w:pPr>
        <w:rPr>
          <w:rFonts w:ascii="Verdana" w:hAnsi="Verdana"/>
          <w:sz w:val="20"/>
        </w:rPr>
      </w:pPr>
    </w:p>
    <w:p w:rsidRPr="006B23F6" w:rsidR="000C6687" w:rsidP="00913B25" w:rsidRDefault="000C6687">
      <w:pPr>
        <w:rPr>
          <w:rFonts w:ascii="Verdana" w:hAnsi="Verdana"/>
          <w:sz w:val="20"/>
        </w:rPr>
      </w:pPr>
    </w:p>
    <w:p w:rsidRPr="006B23F6" w:rsidR="00913B25" w:rsidP="00913B25" w:rsidRDefault="00F11784">
      <w:pPr>
        <w:rPr>
          <w:rFonts w:ascii="Verdana" w:hAnsi="Verdana"/>
          <w:sz w:val="20"/>
        </w:rPr>
      </w:pPr>
      <w:r w:rsidRPr="006B23F6">
        <w:rPr>
          <w:rFonts w:ascii="Verdana" w:hAnsi="Verdana"/>
          <w:sz w:val="20"/>
        </w:rPr>
        <w:t>The company</w:t>
      </w:r>
      <w:r w:rsidRPr="006B23F6" w:rsidR="00191594">
        <w:rPr>
          <w:rFonts w:ascii="Verdana" w:hAnsi="Verdana"/>
          <w:sz w:val="20"/>
        </w:rPr>
        <w:t xml:space="preserve"> holds </w:t>
      </w:r>
      <w:r w:rsidRPr="006B23F6" w:rsidR="00913B25">
        <w:rPr>
          <w:rFonts w:ascii="Verdana" w:hAnsi="Verdana"/>
          <w:sz w:val="20"/>
        </w:rPr>
        <w:t>one</w:t>
      </w:r>
      <w:r w:rsidRPr="006B23F6" w:rsidR="00DD265B">
        <w:rPr>
          <w:rFonts w:ascii="Verdana" w:hAnsi="Verdana"/>
          <w:sz w:val="20"/>
        </w:rPr>
        <w:t xml:space="preserve"> property</w:t>
      </w:r>
      <w:r w:rsidRPr="006B23F6">
        <w:rPr>
          <w:rFonts w:ascii="Verdana" w:hAnsi="Verdana"/>
          <w:sz w:val="20"/>
        </w:rPr>
        <w:t xml:space="preserve"> lease</w:t>
      </w:r>
      <w:r w:rsidRPr="006B23F6" w:rsidR="00DD265B">
        <w:rPr>
          <w:rFonts w:ascii="Verdana" w:hAnsi="Verdana"/>
          <w:sz w:val="20"/>
        </w:rPr>
        <w:t>, on offices the Harford Centre, Harford Street, E1</w:t>
      </w:r>
      <w:r w:rsidRPr="006B23F6" w:rsidR="00913B25">
        <w:rPr>
          <w:rFonts w:ascii="Verdana" w:hAnsi="Verdana"/>
          <w:sz w:val="20"/>
        </w:rPr>
        <w:t>. THH signed a ten year lease for office space in May 2013 at a rent of £135,000 per year.</w:t>
      </w:r>
    </w:p>
    <w:p w:rsidRPr="008B41ED" w:rsidR="00987684" w:rsidP="00F11784" w:rsidRDefault="00987684">
      <w:pPr>
        <w:rPr>
          <w:rFonts w:ascii="Verdana" w:hAnsi="Verdana"/>
          <w:sz w:val="20"/>
          <w:highlight w:val="yellow"/>
        </w:rPr>
      </w:pPr>
    </w:p>
    <w:p w:rsidRPr="006D548B" w:rsidR="00035EAA" w:rsidP="00913B25" w:rsidRDefault="00191594">
      <w:pPr>
        <w:rPr>
          <w:rFonts w:ascii="Verdana" w:hAnsi="Verdana"/>
          <w:sz w:val="20"/>
        </w:rPr>
      </w:pPr>
      <w:r w:rsidRPr="006D548B">
        <w:rPr>
          <w:rFonts w:ascii="Verdana" w:hAnsi="Verdana"/>
          <w:sz w:val="20"/>
        </w:rPr>
        <w:t xml:space="preserve"> </w:t>
      </w:r>
    </w:p>
    <w:p w:rsidRPr="006D548B" w:rsidR="00035EAA" w:rsidP="00F11784" w:rsidRDefault="00035EAA">
      <w:pPr>
        <w:rPr>
          <w:rFonts w:ascii="Verdana" w:hAnsi="Verdana"/>
          <w:sz w:val="20"/>
        </w:rPr>
      </w:pPr>
    </w:p>
    <w:p w:rsidRPr="00965D6F" w:rsidR="00F11784" w:rsidP="00F11784" w:rsidRDefault="00F11784">
      <w:pPr>
        <w:rPr>
          <w:rFonts w:ascii="Verdana" w:hAnsi="Verdana"/>
          <w:b/>
          <w:sz w:val="20"/>
        </w:rPr>
      </w:pPr>
    </w:p>
    <w:p w:rsidRPr="00203FC3" w:rsidR="00427940" w:rsidP="00427940" w:rsidRDefault="00427940">
      <w:pPr>
        <w:pStyle w:val="Heading1"/>
        <w:numPr>
          <w:ilvl w:val="0"/>
          <w:numId w:val="0"/>
        </w:numPr>
        <w:rPr>
          <w:rFonts w:ascii="Verdana" w:hAnsi="Verdana"/>
          <w:bCs/>
          <w:highlight w:val="yellow"/>
        </w:rPr>
      </w:pPr>
      <w:r>
        <w:rPr>
          <w:rFonts w:ascii="Verdana" w:hAnsi="Verdana" w:cs="Arial"/>
        </w:rPr>
        <w:br w:type="page"/>
      </w:r>
      <w:r w:rsidRPr="009E3579">
        <w:rPr>
          <w:rFonts w:ascii="Verdana" w:hAnsi="Verdana" w:cs="Arial"/>
          <w:sz w:val="26"/>
          <w:szCs w:val="26"/>
        </w:rPr>
        <w:t>Notes – continued</w:t>
      </w:r>
    </w:p>
    <w:p w:rsidRPr="00965D6F" w:rsidR="00FF668D" w:rsidP="00FF668D" w:rsidRDefault="00FF668D">
      <w:pPr>
        <w:pStyle w:val="Heading1"/>
        <w:numPr>
          <w:ilvl w:val="0"/>
          <w:numId w:val="0"/>
        </w:numPr>
        <w:rPr>
          <w:rFonts w:ascii="Verdana" w:hAnsi="Verdana" w:cs="Arial"/>
        </w:rPr>
      </w:pPr>
      <w:r w:rsidRPr="00087A25">
        <w:rPr>
          <w:rFonts w:ascii="Verdana" w:hAnsi="Verdana" w:cs="Arial"/>
        </w:rPr>
        <w:t>1</w:t>
      </w:r>
      <w:r w:rsidRPr="00087A25" w:rsidR="004C030C">
        <w:rPr>
          <w:rFonts w:ascii="Verdana" w:hAnsi="Verdana" w:cs="Arial"/>
        </w:rPr>
        <w:t>7</w:t>
      </w:r>
      <w:r w:rsidRPr="00087A25">
        <w:rPr>
          <w:rFonts w:ascii="Verdana" w:hAnsi="Verdana" w:cs="Arial"/>
        </w:rPr>
        <w:t>. Related party disclosures</w:t>
      </w:r>
    </w:p>
    <w:p w:rsidRPr="00965D6F" w:rsidR="005C65BC" w:rsidP="00FF668D" w:rsidRDefault="007748CD">
      <w:pPr>
        <w:rPr>
          <w:rFonts w:ascii="Verdana" w:hAnsi="Verdana" w:cs="Arial"/>
          <w:sz w:val="20"/>
        </w:rPr>
      </w:pPr>
      <w:r w:rsidRPr="00965D6F">
        <w:rPr>
          <w:rFonts w:ascii="Verdana" w:hAnsi="Verdana" w:cs="Arial"/>
          <w:sz w:val="20"/>
        </w:rPr>
        <w:t>Details as to the status of the Company and composition of the Board of Directors are</w:t>
      </w:r>
      <w:r w:rsidRPr="00965D6F" w:rsidR="00FF668D">
        <w:rPr>
          <w:rFonts w:ascii="Verdana" w:hAnsi="Verdana" w:cs="Arial"/>
          <w:sz w:val="20"/>
        </w:rPr>
        <w:t xml:space="preserve"> given in </w:t>
      </w:r>
      <w:r w:rsidRPr="00965D6F" w:rsidR="00165F5F">
        <w:rPr>
          <w:rFonts w:ascii="Verdana" w:hAnsi="Verdana" w:cs="Arial"/>
          <w:sz w:val="20"/>
        </w:rPr>
        <w:t>N</w:t>
      </w:r>
      <w:r w:rsidRPr="00965D6F" w:rsidR="005C65BC">
        <w:rPr>
          <w:rFonts w:ascii="Verdana" w:hAnsi="Verdana" w:cs="Arial"/>
          <w:sz w:val="20"/>
        </w:rPr>
        <w:t>ote 1.</w:t>
      </w:r>
    </w:p>
    <w:p w:rsidRPr="00965D6F" w:rsidR="005C65BC" w:rsidP="00FF668D" w:rsidRDefault="005C65BC">
      <w:pPr>
        <w:rPr>
          <w:rFonts w:ascii="Verdana" w:hAnsi="Verdana" w:cs="Arial"/>
          <w:sz w:val="20"/>
        </w:rPr>
      </w:pPr>
    </w:p>
    <w:p w:rsidRPr="00965D6F" w:rsidR="00FF668D" w:rsidP="00FF668D" w:rsidRDefault="00FF668D">
      <w:pPr>
        <w:rPr>
          <w:rFonts w:ascii="Verdana" w:hAnsi="Verdana" w:cs="Arial"/>
          <w:sz w:val="20"/>
        </w:rPr>
      </w:pPr>
      <w:r w:rsidRPr="00965D6F">
        <w:rPr>
          <w:rFonts w:ascii="Verdana" w:hAnsi="Verdana" w:cs="Arial"/>
          <w:sz w:val="20"/>
        </w:rPr>
        <w:t xml:space="preserve">The ultimate controlling party is The London Borough of Tower Hamlets. </w:t>
      </w:r>
    </w:p>
    <w:p w:rsidRPr="00965D6F" w:rsidR="00FF668D" w:rsidP="00FF668D" w:rsidRDefault="00E2669C">
      <w:pPr>
        <w:spacing w:before="240"/>
        <w:rPr>
          <w:rFonts w:ascii="Verdana" w:hAnsi="Verdana" w:cs="Arial"/>
          <w:sz w:val="20"/>
        </w:rPr>
      </w:pPr>
      <w:r w:rsidRPr="00965D6F">
        <w:rPr>
          <w:rFonts w:ascii="Verdana" w:hAnsi="Verdana" w:cs="Arial"/>
          <w:sz w:val="20"/>
        </w:rPr>
        <w:t>The C</w:t>
      </w:r>
      <w:r w:rsidRPr="00965D6F" w:rsidR="00FF668D">
        <w:rPr>
          <w:rFonts w:ascii="Verdana" w:hAnsi="Verdana" w:cs="Arial"/>
          <w:sz w:val="20"/>
        </w:rPr>
        <w:t>ompany’s main source of income is a management fee for the management of The London Borough of Tower Hamlets housing stock: this amounted to £</w:t>
      </w:r>
      <w:r w:rsidRPr="002271D8" w:rsidR="00A94EB5">
        <w:rPr>
          <w:rFonts w:ascii="Verdana" w:hAnsi="Verdana" w:cs="Arial"/>
          <w:color w:val="000000" w:themeColor="text1"/>
          <w:sz w:val="20"/>
        </w:rPr>
        <w:t>3</w:t>
      </w:r>
      <w:r w:rsidRPr="002271D8" w:rsidR="002271D8">
        <w:rPr>
          <w:rFonts w:ascii="Verdana" w:hAnsi="Verdana" w:cs="Arial"/>
          <w:color w:val="000000" w:themeColor="text1"/>
          <w:sz w:val="20"/>
        </w:rPr>
        <w:t>2</w:t>
      </w:r>
      <w:r w:rsidRPr="002271D8" w:rsidR="00A94EB5">
        <w:rPr>
          <w:rFonts w:ascii="Verdana" w:hAnsi="Verdana" w:cs="Arial"/>
          <w:color w:val="000000" w:themeColor="text1"/>
          <w:sz w:val="20"/>
        </w:rPr>
        <w:t>,</w:t>
      </w:r>
      <w:r w:rsidRPr="002271D8" w:rsidR="002271D8">
        <w:rPr>
          <w:rFonts w:ascii="Verdana" w:hAnsi="Verdana" w:cs="Arial"/>
          <w:color w:val="000000" w:themeColor="text1"/>
          <w:sz w:val="20"/>
        </w:rPr>
        <w:t>786</w:t>
      </w:r>
      <w:r w:rsidRPr="002271D8" w:rsidR="00A94EB5">
        <w:rPr>
          <w:rFonts w:ascii="Verdana" w:hAnsi="Verdana" w:cs="Arial"/>
          <w:color w:val="000000" w:themeColor="text1"/>
          <w:sz w:val="20"/>
        </w:rPr>
        <w:t>,</w:t>
      </w:r>
      <w:r w:rsidRPr="002271D8" w:rsidR="002271D8">
        <w:rPr>
          <w:rFonts w:ascii="Verdana" w:hAnsi="Verdana" w:cs="Arial"/>
          <w:color w:val="000000" w:themeColor="text1"/>
          <w:sz w:val="20"/>
        </w:rPr>
        <w:t>139</w:t>
      </w:r>
      <w:r w:rsidRPr="00A94EB5" w:rsidR="00A94EB5">
        <w:rPr>
          <w:rFonts w:ascii="Verdana" w:hAnsi="Verdana" w:cs="Arial"/>
          <w:color w:val="000000" w:themeColor="text1"/>
          <w:sz w:val="20"/>
        </w:rPr>
        <w:t xml:space="preserve"> </w:t>
      </w:r>
      <w:r w:rsidR="00965D6F">
        <w:rPr>
          <w:rFonts w:ascii="Verdana" w:hAnsi="Verdana" w:cs="Arial"/>
          <w:sz w:val="20"/>
        </w:rPr>
        <w:t>(201</w:t>
      </w:r>
      <w:r w:rsidR="004A4BED">
        <w:rPr>
          <w:rFonts w:ascii="Verdana" w:hAnsi="Verdana" w:cs="Arial"/>
          <w:sz w:val="20"/>
        </w:rPr>
        <w:t>6</w:t>
      </w:r>
      <w:r w:rsidR="00965D6F">
        <w:rPr>
          <w:rFonts w:ascii="Verdana" w:hAnsi="Verdana" w:cs="Arial"/>
          <w:sz w:val="20"/>
        </w:rPr>
        <w:t>-1</w:t>
      </w:r>
      <w:r w:rsidR="004A4BED">
        <w:rPr>
          <w:rFonts w:ascii="Verdana" w:hAnsi="Verdana" w:cs="Arial"/>
          <w:sz w:val="20"/>
        </w:rPr>
        <w:t>7</w:t>
      </w:r>
      <w:r w:rsidRPr="00965D6F" w:rsidR="00DC6FB9">
        <w:rPr>
          <w:rFonts w:ascii="Verdana" w:hAnsi="Verdana" w:cs="Arial"/>
          <w:sz w:val="20"/>
        </w:rPr>
        <w:t>: £</w:t>
      </w:r>
      <w:r w:rsidRPr="00203FC3" w:rsidR="00203FC3">
        <w:rPr>
          <w:rFonts w:ascii="Verdana" w:hAnsi="Verdana" w:cs="Arial"/>
          <w:sz w:val="20"/>
        </w:rPr>
        <w:t>3</w:t>
      </w:r>
      <w:r w:rsidR="004A4BED">
        <w:rPr>
          <w:rFonts w:ascii="Verdana" w:hAnsi="Verdana" w:cs="Arial"/>
          <w:sz w:val="20"/>
        </w:rPr>
        <w:t>3</w:t>
      </w:r>
      <w:r w:rsidRPr="00203FC3" w:rsidR="00203FC3">
        <w:rPr>
          <w:rFonts w:ascii="Verdana" w:hAnsi="Verdana" w:cs="Arial"/>
          <w:sz w:val="20"/>
        </w:rPr>
        <w:t>,</w:t>
      </w:r>
      <w:r w:rsidR="004A4BED">
        <w:rPr>
          <w:rFonts w:ascii="Verdana" w:hAnsi="Verdana" w:cs="Arial"/>
          <w:sz w:val="20"/>
        </w:rPr>
        <w:t>375</w:t>
      </w:r>
      <w:r w:rsidRPr="00203FC3" w:rsidR="00203FC3">
        <w:rPr>
          <w:rFonts w:ascii="Verdana" w:hAnsi="Verdana" w:cs="Arial"/>
          <w:sz w:val="20"/>
        </w:rPr>
        <w:t>,</w:t>
      </w:r>
      <w:r w:rsidR="004A4BED">
        <w:rPr>
          <w:rFonts w:ascii="Verdana" w:hAnsi="Verdana" w:cs="Arial"/>
          <w:sz w:val="20"/>
        </w:rPr>
        <w:t>996</w:t>
      </w:r>
      <w:r w:rsidRPr="00965D6F" w:rsidR="007777A5">
        <w:rPr>
          <w:rFonts w:ascii="Verdana" w:hAnsi="Verdana" w:cs="Arial"/>
          <w:sz w:val="20"/>
        </w:rPr>
        <w:t>)</w:t>
      </w:r>
      <w:r w:rsidRPr="00965D6F" w:rsidR="00FF668D">
        <w:rPr>
          <w:rFonts w:ascii="Verdana" w:hAnsi="Verdana" w:cs="Arial"/>
          <w:sz w:val="20"/>
        </w:rPr>
        <w:t>, at the end of the financial period</w:t>
      </w:r>
      <w:r w:rsidRPr="00965D6F" w:rsidR="002763B9">
        <w:rPr>
          <w:rFonts w:ascii="Verdana" w:hAnsi="Verdana" w:cs="Arial"/>
          <w:sz w:val="20"/>
        </w:rPr>
        <w:t>.</w:t>
      </w:r>
      <w:r w:rsidR="00965D6F">
        <w:rPr>
          <w:rFonts w:ascii="Verdana" w:hAnsi="Verdana" w:cs="Arial"/>
          <w:sz w:val="20"/>
        </w:rPr>
        <w:t xml:space="preserve"> Of this £</w:t>
      </w:r>
      <w:r w:rsidRPr="002271D8" w:rsidR="00525C18">
        <w:rPr>
          <w:rFonts w:ascii="Verdana" w:hAnsi="Verdana" w:cs="Arial"/>
          <w:color w:val="000000" w:themeColor="text1"/>
          <w:sz w:val="20"/>
        </w:rPr>
        <w:t>2,5</w:t>
      </w:r>
      <w:r w:rsidRPr="002271D8" w:rsidR="002271D8">
        <w:rPr>
          <w:rFonts w:ascii="Verdana" w:hAnsi="Verdana" w:cs="Arial"/>
          <w:color w:val="000000" w:themeColor="text1"/>
          <w:sz w:val="20"/>
        </w:rPr>
        <w:t>87</w:t>
      </w:r>
      <w:r w:rsidRPr="002271D8" w:rsidR="00A94EB5">
        <w:rPr>
          <w:rFonts w:ascii="Verdana" w:hAnsi="Verdana" w:cs="Arial"/>
          <w:color w:val="000000" w:themeColor="text1"/>
          <w:sz w:val="20"/>
        </w:rPr>
        <w:t>,000</w:t>
      </w:r>
      <w:r w:rsidRPr="00A94EB5" w:rsidR="00A94EB5">
        <w:rPr>
          <w:rFonts w:ascii="Verdana" w:hAnsi="Verdana" w:cs="Arial"/>
          <w:color w:val="000000" w:themeColor="text1"/>
          <w:sz w:val="20"/>
        </w:rPr>
        <w:t xml:space="preserve"> </w:t>
      </w:r>
      <w:r w:rsidRPr="00965D6F" w:rsidR="00DA0918">
        <w:rPr>
          <w:rFonts w:ascii="Verdana" w:hAnsi="Verdana" w:cs="Arial"/>
          <w:sz w:val="20"/>
        </w:rPr>
        <w:t xml:space="preserve">relates to reimbursement of employer pension </w:t>
      </w:r>
      <w:r w:rsidRPr="00965D6F" w:rsidR="00D63055">
        <w:rPr>
          <w:rFonts w:ascii="Verdana" w:hAnsi="Verdana" w:cs="Arial"/>
          <w:sz w:val="20"/>
        </w:rPr>
        <w:t>contributions</w:t>
      </w:r>
      <w:r w:rsidR="00203FC3">
        <w:rPr>
          <w:rFonts w:ascii="Verdana" w:hAnsi="Verdana" w:cs="Arial"/>
          <w:sz w:val="20"/>
        </w:rPr>
        <w:t xml:space="preserve"> (201</w:t>
      </w:r>
      <w:r w:rsidR="004A4BED">
        <w:rPr>
          <w:rFonts w:ascii="Verdana" w:hAnsi="Verdana" w:cs="Arial"/>
          <w:sz w:val="20"/>
        </w:rPr>
        <w:t>6</w:t>
      </w:r>
      <w:r w:rsidR="005547CE">
        <w:rPr>
          <w:rFonts w:ascii="Verdana" w:hAnsi="Verdana" w:cs="Arial"/>
          <w:sz w:val="20"/>
        </w:rPr>
        <w:t>-1</w:t>
      </w:r>
      <w:r w:rsidR="004A4BED">
        <w:rPr>
          <w:rFonts w:ascii="Verdana" w:hAnsi="Verdana" w:cs="Arial"/>
          <w:sz w:val="20"/>
        </w:rPr>
        <w:t>7</w:t>
      </w:r>
      <w:r w:rsidR="005547CE">
        <w:rPr>
          <w:rFonts w:ascii="Verdana" w:hAnsi="Verdana" w:cs="Arial"/>
          <w:sz w:val="20"/>
        </w:rPr>
        <w:t>: £</w:t>
      </w:r>
      <w:r w:rsidRPr="00203FC3" w:rsidR="00203FC3">
        <w:rPr>
          <w:rFonts w:ascii="Verdana" w:hAnsi="Verdana" w:cs="Arial"/>
          <w:sz w:val="20"/>
        </w:rPr>
        <w:t>2,</w:t>
      </w:r>
      <w:r w:rsidR="004A4BED">
        <w:rPr>
          <w:rFonts w:ascii="Verdana" w:hAnsi="Verdana" w:cs="Arial"/>
          <w:sz w:val="20"/>
        </w:rPr>
        <w:t>558</w:t>
      </w:r>
      <w:r w:rsidRPr="00203FC3" w:rsidR="00203FC3">
        <w:rPr>
          <w:rFonts w:ascii="Verdana" w:hAnsi="Verdana" w:cs="Arial"/>
          <w:sz w:val="20"/>
        </w:rPr>
        <w:t>,000</w:t>
      </w:r>
      <w:r w:rsidRPr="00965D6F" w:rsidR="00DA0918">
        <w:rPr>
          <w:rFonts w:ascii="Verdana" w:hAnsi="Verdana" w:cs="Arial"/>
          <w:sz w:val="20"/>
        </w:rPr>
        <w:t>)</w:t>
      </w:r>
      <w:r w:rsidR="004A4BED">
        <w:rPr>
          <w:rFonts w:ascii="Verdana" w:hAnsi="Verdana" w:cs="Arial"/>
          <w:sz w:val="20"/>
        </w:rPr>
        <w:t>.</w:t>
      </w:r>
    </w:p>
    <w:p w:rsidRPr="00965D6F" w:rsidR="000F24B2" w:rsidP="00FF668D" w:rsidRDefault="000F24B2">
      <w:pPr>
        <w:spacing w:before="240"/>
        <w:rPr>
          <w:rFonts w:ascii="Verdana" w:hAnsi="Verdana" w:cs="Arial"/>
          <w:sz w:val="20"/>
        </w:rPr>
      </w:pPr>
      <w:r w:rsidRPr="00965D6F">
        <w:rPr>
          <w:rFonts w:ascii="Verdana" w:hAnsi="Verdana" w:cs="Arial"/>
          <w:sz w:val="20"/>
        </w:rPr>
        <w:t>There was a related pa</w:t>
      </w:r>
      <w:r w:rsidRPr="00965D6F" w:rsidR="003969FE">
        <w:rPr>
          <w:rFonts w:ascii="Verdana" w:hAnsi="Verdana" w:cs="Arial"/>
          <w:sz w:val="20"/>
        </w:rPr>
        <w:t>rty creditor balance of £</w:t>
      </w:r>
      <w:r w:rsidR="002271D8">
        <w:rPr>
          <w:rFonts w:ascii="Verdana" w:hAnsi="Verdana" w:cs="Arial"/>
          <w:color w:val="000000" w:themeColor="text1"/>
          <w:sz w:val="20"/>
        </w:rPr>
        <w:t>1</w:t>
      </w:r>
      <w:r w:rsidRPr="002271D8" w:rsidR="002271D8">
        <w:rPr>
          <w:rFonts w:ascii="Verdana" w:hAnsi="Verdana" w:cs="Arial"/>
          <w:color w:val="000000" w:themeColor="text1"/>
          <w:sz w:val="20"/>
        </w:rPr>
        <w:t>,</w:t>
      </w:r>
      <w:r w:rsidR="002271D8">
        <w:rPr>
          <w:rFonts w:ascii="Verdana" w:hAnsi="Verdana" w:cs="Arial"/>
          <w:color w:val="000000" w:themeColor="text1"/>
          <w:sz w:val="20"/>
        </w:rPr>
        <w:t>652</w:t>
      </w:r>
      <w:r w:rsidRPr="002271D8" w:rsidR="00A94EB5">
        <w:rPr>
          <w:rFonts w:ascii="Verdana" w:hAnsi="Verdana" w:cs="Arial"/>
          <w:color w:val="000000" w:themeColor="text1"/>
          <w:sz w:val="20"/>
        </w:rPr>
        <w:t>,</w:t>
      </w:r>
      <w:r w:rsidR="002271D8">
        <w:rPr>
          <w:rFonts w:ascii="Verdana" w:hAnsi="Verdana" w:cs="Arial"/>
          <w:color w:val="000000" w:themeColor="text1"/>
          <w:sz w:val="20"/>
        </w:rPr>
        <w:t>200</w:t>
      </w:r>
      <w:r w:rsidRPr="00A94EB5" w:rsidR="00CC0EEA">
        <w:rPr>
          <w:rFonts w:ascii="Verdana" w:hAnsi="Verdana" w:cs="Arial"/>
          <w:color w:val="000000" w:themeColor="text1"/>
          <w:sz w:val="20"/>
        </w:rPr>
        <w:t xml:space="preserve"> </w:t>
      </w:r>
      <w:r w:rsidRPr="00965D6F">
        <w:rPr>
          <w:rFonts w:ascii="Verdana" w:hAnsi="Verdana" w:cs="Arial"/>
          <w:sz w:val="20"/>
        </w:rPr>
        <w:t>at 31 March 201</w:t>
      </w:r>
      <w:r w:rsidR="004A4BED">
        <w:rPr>
          <w:rFonts w:ascii="Verdana" w:hAnsi="Verdana" w:cs="Arial"/>
          <w:sz w:val="20"/>
        </w:rPr>
        <w:t>8</w:t>
      </w:r>
      <w:r w:rsidRPr="00965D6F" w:rsidR="00CC0EEA">
        <w:rPr>
          <w:rFonts w:ascii="Verdana" w:hAnsi="Verdana" w:cs="Arial"/>
          <w:sz w:val="20"/>
        </w:rPr>
        <w:t xml:space="preserve"> (£</w:t>
      </w:r>
      <w:r w:rsidR="004A4BED">
        <w:rPr>
          <w:rFonts w:ascii="Verdana" w:hAnsi="Verdana" w:cs="Arial"/>
          <w:sz w:val="20"/>
        </w:rPr>
        <w:t>949,268</w:t>
      </w:r>
      <w:r w:rsidRPr="00203FC3" w:rsidR="00203FC3">
        <w:rPr>
          <w:rFonts w:ascii="Verdana" w:hAnsi="Verdana" w:cs="Arial"/>
          <w:sz w:val="20"/>
        </w:rPr>
        <w:t xml:space="preserve"> </w:t>
      </w:r>
      <w:r w:rsidRPr="00965D6F" w:rsidR="00CC0EEA">
        <w:rPr>
          <w:rFonts w:ascii="Verdana" w:hAnsi="Verdana" w:cs="Arial"/>
          <w:sz w:val="20"/>
        </w:rPr>
        <w:t>at 31 March 201</w:t>
      </w:r>
      <w:r w:rsidR="004A4BED">
        <w:rPr>
          <w:rFonts w:ascii="Verdana" w:hAnsi="Verdana" w:cs="Arial"/>
          <w:sz w:val="20"/>
        </w:rPr>
        <w:t>7</w:t>
      </w:r>
      <w:r w:rsidRPr="00965D6F" w:rsidR="00CC0EEA">
        <w:rPr>
          <w:rFonts w:ascii="Verdana" w:hAnsi="Verdana" w:cs="Arial"/>
          <w:sz w:val="20"/>
        </w:rPr>
        <w:t>)</w:t>
      </w:r>
      <w:r w:rsidR="004A4BED">
        <w:rPr>
          <w:rFonts w:ascii="Verdana" w:hAnsi="Verdana" w:cs="Arial"/>
          <w:sz w:val="20"/>
        </w:rPr>
        <w:t>.</w:t>
      </w:r>
    </w:p>
    <w:p w:rsidRPr="00965D6F" w:rsidR="00FF668D" w:rsidP="00FF668D" w:rsidRDefault="00FF668D">
      <w:pPr>
        <w:rPr>
          <w:rFonts w:ascii="Verdana" w:hAnsi="Verdana" w:cs="Arial"/>
          <w:sz w:val="20"/>
        </w:rPr>
      </w:pPr>
    </w:p>
    <w:p w:rsidRPr="00965D6F" w:rsidR="00FF668D" w:rsidP="00FF668D" w:rsidRDefault="00E2669C">
      <w:pPr>
        <w:rPr>
          <w:rFonts w:ascii="Verdana" w:hAnsi="Verdana" w:cs="Arial"/>
          <w:sz w:val="20"/>
        </w:rPr>
      </w:pPr>
      <w:r w:rsidRPr="00965D6F">
        <w:rPr>
          <w:rFonts w:ascii="Verdana" w:hAnsi="Verdana" w:cs="Arial"/>
          <w:sz w:val="20"/>
        </w:rPr>
        <w:t>In the event of the C</w:t>
      </w:r>
      <w:r w:rsidRPr="00965D6F" w:rsidR="00FF668D">
        <w:rPr>
          <w:rFonts w:ascii="Verdana" w:hAnsi="Verdana" w:cs="Arial"/>
          <w:sz w:val="20"/>
        </w:rPr>
        <w:t xml:space="preserve">ompany being wound up, The London </w:t>
      </w:r>
      <w:r w:rsidR="00322C0E">
        <w:rPr>
          <w:rFonts w:ascii="Verdana" w:hAnsi="Verdana" w:cs="Arial"/>
          <w:sz w:val="20"/>
        </w:rPr>
        <w:t>Borough of Tower Hamlets</w:t>
      </w:r>
      <w:r w:rsidRPr="00965D6F" w:rsidR="00FF668D">
        <w:rPr>
          <w:rFonts w:ascii="Verdana" w:hAnsi="Verdana" w:cs="Arial"/>
          <w:sz w:val="20"/>
        </w:rPr>
        <w:t xml:space="preserve"> undertakes to contribute such amount as may be required for the payment of the debts and liabilities of the organisations providing this amount does not </w:t>
      </w:r>
      <w:r w:rsidRPr="00965D6F" w:rsidR="00062CF1">
        <w:rPr>
          <w:rFonts w:ascii="Verdana" w:hAnsi="Verdana" w:cs="Arial"/>
          <w:sz w:val="20"/>
        </w:rPr>
        <w:t>exceed one pound.</w:t>
      </w:r>
      <w:r w:rsidRPr="00965D6F" w:rsidR="00EB1EB3">
        <w:rPr>
          <w:rFonts w:ascii="Verdana" w:hAnsi="Verdana" w:cs="Arial"/>
          <w:sz w:val="20"/>
        </w:rPr>
        <w:t xml:space="preserve"> The exception to this is the reimbursement rights asset relating to the pension liability which fully covers this.</w:t>
      </w:r>
      <w:r w:rsidRPr="00965D6F" w:rsidR="00062CF1">
        <w:rPr>
          <w:rFonts w:ascii="Verdana" w:hAnsi="Verdana" w:cs="Arial"/>
          <w:sz w:val="20"/>
        </w:rPr>
        <w:t xml:space="preserve"> A</w:t>
      </w:r>
      <w:r w:rsidRPr="00965D6F" w:rsidR="00FF668D">
        <w:rPr>
          <w:rFonts w:ascii="Verdana" w:hAnsi="Verdana" w:cs="Arial"/>
          <w:sz w:val="20"/>
        </w:rPr>
        <w:t>fter the satisfaction of all debts and liabilities the remaining assets will be transferred to the Housing Revenue Account (as defined in the 1989 Act) of The London Borough of Tower Hamlets.</w:t>
      </w:r>
    </w:p>
    <w:p w:rsidR="004867D5" w:rsidP="00612C83" w:rsidRDefault="004867D5">
      <w:pPr>
        <w:rPr>
          <w:rFonts w:ascii="Verdana" w:hAnsi="Verdana" w:cs="Arial"/>
          <w:b/>
          <w:sz w:val="20"/>
          <w:highlight w:val="yellow"/>
        </w:rPr>
      </w:pPr>
    </w:p>
    <w:p w:rsidRPr="00427940" w:rsidR="00427940" w:rsidP="00612C83" w:rsidRDefault="00427940">
      <w:pPr>
        <w:rPr>
          <w:rFonts w:ascii="Verdana" w:hAnsi="Verdana" w:cs="Arial"/>
          <w:b/>
          <w:sz w:val="20"/>
        </w:rPr>
      </w:pPr>
    </w:p>
    <w:p w:rsidR="00427940" w:rsidP="00612C83" w:rsidRDefault="00427940">
      <w:pPr>
        <w:rPr>
          <w:rFonts w:ascii="Verdana" w:hAnsi="Verdana" w:cs="Arial"/>
          <w:b/>
          <w:sz w:val="20"/>
        </w:rPr>
      </w:pPr>
    </w:p>
    <w:p w:rsidRPr="00427940" w:rsidR="00612C83" w:rsidP="00612C83" w:rsidRDefault="00ED0D15">
      <w:pPr>
        <w:rPr>
          <w:rFonts w:ascii="Verdana" w:hAnsi="Verdana" w:cs="Arial"/>
          <w:b/>
          <w:sz w:val="20"/>
        </w:rPr>
      </w:pPr>
      <w:r w:rsidRPr="00427940">
        <w:rPr>
          <w:rFonts w:ascii="Verdana" w:hAnsi="Verdana" w:cs="Arial"/>
          <w:b/>
          <w:sz w:val="20"/>
        </w:rPr>
        <w:t>1</w:t>
      </w:r>
      <w:r w:rsidRPr="00427940" w:rsidR="004C030C">
        <w:rPr>
          <w:rFonts w:ascii="Verdana" w:hAnsi="Verdana" w:cs="Arial"/>
          <w:b/>
          <w:sz w:val="20"/>
        </w:rPr>
        <w:t>8</w:t>
      </w:r>
      <w:r w:rsidRPr="00427940" w:rsidR="00612C83">
        <w:rPr>
          <w:rFonts w:ascii="Verdana" w:hAnsi="Verdana" w:cs="Arial"/>
          <w:b/>
          <w:sz w:val="20"/>
        </w:rPr>
        <w:t>. Contingent Liability</w:t>
      </w:r>
    </w:p>
    <w:p w:rsidRPr="00427940" w:rsidR="00D12FEE" w:rsidP="00612C83" w:rsidRDefault="00D12FEE">
      <w:pPr>
        <w:rPr>
          <w:rFonts w:ascii="Verdana" w:hAnsi="Verdana" w:cs="Arial"/>
          <w:sz w:val="20"/>
        </w:rPr>
      </w:pPr>
    </w:p>
    <w:p w:rsidRPr="00427940" w:rsidR="00612C83" w:rsidP="00612C83" w:rsidRDefault="00CC0EEA">
      <w:pPr>
        <w:rPr>
          <w:rFonts w:ascii="Verdana" w:hAnsi="Verdana" w:cs="Arial"/>
          <w:sz w:val="20"/>
        </w:rPr>
      </w:pPr>
      <w:r w:rsidRPr="00427940">
        <w:rPr>
          <w:rFonts w:ascii="Verdana" w:hAnsi="Verdana" w:cs="Arial"/>
          <w:sz w:val="20"/>
        </w:rPr>
        <w:t xml:space="preserve">The Company had </w:t>
      </w:r>
      <w:r w:rsidRPr="004A4BED">
        <w:rPr>
          <w:rFonts w:ascii="Verdana" w:hAnsi="Verdana" w:cs="Arial"/>
          <w:sz w:val="20"/>
          <w:highlight w:val="yellow"/>
        </w:rPr>
        <w:t>no</w:t>
      </w:r>
      <w:r w:rsidRPr="00427940">
        <w:rPr>
          <w:rFonts w:ascii="Verdana" w:hAnsi="Verdana" w:cs="Arial"/>
          <w:sz w:val="20"/>
        </w:rPr>
        <w:t xml:space="preserve"> contingent</w:t>
      </w:r>
      <w:r w:rsidR="00446B4C">
        <w:rPr>
          <w:rFonts w:ascii="Verdana" w:hAnsi="Verdana" w:cs="Arial"/>
          <w:sz w:val="20"/>
        </w:rPr>
        <w:t xml:space="preserve"> liabilities as at 31 March 201</w:t>
      </w:r>
      <w:r w:rsidR="004A4BED">
        <w:rPr>
          <w:rFonts w:ascii="Verdana" w:hAnsi="Verdana" w:cs="Arial"/>
          <w:sz w:val="20"/>
        </w:rPr>
        <w:t>8</w:t>
      </w:r>
      <w:r w:rsidR="002671BE">
        <w:rPr>
          <w:rFonts w:ascii="Verdana" w:hAnsi="Verdana" w:cs="Arial"/>
          <w:sz w:val="20"/>
        </w:rPr>
        <w:t xml:space="preserve"> </w:t>
      </w:r>
      <w:r w:rsidR="009766C0">
        <w:rPr>
          <w:rFonts w:ascii="Verdana" w:hAnsi="Verdana" w:cs="Arial"/>
          <w:sz w:val="20"/>
        </w:rPr>
        <w:t>(201</w:t>
      </w:r>
      <w:r w:rsidR="004A4BED">
        <w:rPr>
          <w:rFonts w:ascii="Verdana" w:hAnsi="Verdana" w:cs="Arial"/>
          <w:sz w:val="20"/>
        </w:rPr>
        <w:t>7</w:t>
      </w:r>
      <w:r w:rsidR="009766C0">
        <w:rPr>
          <w:rFonts w:ascii="Verdana" w:hAnsi="Verdana" w:cs="Arial"/>
          <w:sz w:val="20"/>
        </w:rPr>
        <w:t>:</w:t>
      </w:r>
      <w:r w:rsidR="002671BE">
        <w:rPr>
          <w:rFonts w:ascii="Verdana" w:hAnsi="Verdana" w:cs="Arial"/>
          <w:sz w:val="20"/>
        </w:rPr>
        <w:t xml:space="preserve"> </w:t>
      </w:r>
      <w:r w:rsidR="009766C0">
        <w:rPr>
          <w:rFonts w:ascii="Verdana" w:hAnsi="Verdana" w:cs="Arial"/>
          <w:sz w:val="20"/>
        </w:rPr>
        <w:t>Nil)</w:t>
      </w:r>
      <w:r w:rsidRPr="00427940">
        <w:rPr>
          <w:rFonts w:ascii="Verdana" w:hAnsi="Verdana" w:cs="Arial"/>
          <w:sz w:val="20"/>
        </w:rPr>
        <w:t>.</w:t>
      </w:r>
    </w:p>
    <w:p w:rsidR="00427940" w:rsidP="00DE3651" w:rsidRDefault="00427940">
      <w:pPr>
        <w:pStyle w:val="Heading1"/>
        <w:numPr>
          <w:ilvl w:val="0"/>
          <w:numId w:val="0"/>
        </w:numPr>
        <w:rPr>
          <w:rFonts w:ascii="Verdana" w:hAnsi="Verdana" w:cs="Arial"/>
        </w:rPr>
      </w:pPr>
    </w:p>
    <w:p w:rsidRPr="00427940" w:rsidR="00FF668D" w:rsidP="00DE3651" w:rsidRDefault="004C030C">
      <w:pPr>
        <w:pStyle w:val="Heading1"/>
        <w:numPr>
          <w:ilvl w:val="0"/>
          <w:numId w:val="0"/>
        </w:numPr>
        <w:rPr>
          <w:rFonts w:ascii="Verdana" w:hAnsi="Verdana" w:cs="Arial"/>
        </w:rPr>
      </w:pPr>
      <w:r w:rsidRPr="00427940">
        <w:rPr>
          <w:rFonts w:ascii="Verdana" w:hAnsi="Verdana" w:cs="Arial"/>
        </w:rPr>
        <w:t>19</w:t>
      </w:r>
      <w:r w:rsidRPr="00427940" w:rsidR="00FF668D">
        <w:rPr>
          <w:rFonts w:ascii="Verdana" w:hAnsi="Verdana" w:cs="Arial"/>
        </w:rPr>
        <w:t>. Ultimate parent company and parent undertaking of larger group of which the company is a member</w:t>
      </w:r>
    </w:p>
    <w:p w:rsidR="009D06BA" w:rsidP="00C63A8C" w:rsidRDefault="00E2669C">
      <w:pPr>
        <w:rPr>
          <w:rFonts w:ascii="Verdana" w:hAnsi="Verdana" w:cs="Arial"/>
        </w:rPr>
      </w:pPr>
      <w:r w:rsidRPr="00427940">
        <w:rPr>
          <w:rFonts w:ascii="Verdana" w:hAnsi="Verdana" w:cs="Arial"/>
          <w:sz w:val="20"/>
        </w:rPr>
        <w:t>The C</w:t>
      </w:r>
      <w:r w:rsidRPr="00427940" w:rsidR="00FF668D">
        <w:rPr>
          <w:rFonts w:ascii="Verdana" w:hAnsi="Verdana" w:cs="Arial"/>
          <w:sz w:val="20"/>
        </w:rPr>
        <w:t xml:space="preserve">ompany is a </w:t>
      </w:r>
      <w:r w:rsidRPr="00427940" w:rsidR="00F9123C">
        <w:rPr>
          <w:rFonts w:ascii="Verdana" w:hAnsi="Verdana" w:cs="Arial"/>
          <w:sz w:val="20"/>
        </w:rPr>
        <w:t xml:space="preserve">wholly owned </w:t>
      </w:r>
      <w:r w:rsidRPr="00427940" w:rsidR="00FF668D">
        <w:rPr>
          <w:rFonts w:ascii="Verdana" w:hAnsi="Verdana" w:cs="Arial"/>
          <w:sz w:val="20"/>
        </w:rPr>
        <w:t>subsidiary of The London Borough of Tower Hamlets</w:t>
      </w:r>
      <w:r w:rsidRPr="00427940" w:rsidR="00CC0EEA">
        <w:rPr>
          <w:rFonts w:ascii="Verdana" w:hAnsi="Verdana" w:cs="Arial"/>
          <w:sz w:val="20"/>
        </w:rPr>
        <w:t xml:space="preserve">, although the Council has determined that the accounts of </w:t>
      </w:r>
      <w:r w:rsidRPr="00427940" w:rsidR="00F9123C">
        <w:rPr>
          <w:rFonts w:ascii="Verdana" w:hAnsi="Verdana" w:cs="Arial"/>
          <w:sz w:val="20"/>
        </w:rPr>
        <w:t>Tower Hamlets Homes Ltd</w:t>
      </w:r>
      <w:r w:rsidRPr="00427940" w:rsidR="00CC0EEA">
        <w:rPr>
          <w:rFonts w:ascii="Verdana" w:hAnsi="Verdana" w:cs="Arial"/>
          <w:sz w:val="20"/>
        </w:rPr>
        <w:t xml:space="preserve"> are not sufficiently material to warrant consolidation into its own accounts.</w:t>
      </w:r>
    </w:p>
    <w:sectPr w:rsidR="009D06BA" w:rsidSect="00510076">
      <w:headerReference w:type="default" r:id="rId18"/>
      <w:footerReference w:type="even" r:id="rId19"/>
      <w:footerReference w:type="default" r:id="rId20"/>
      <w:headerReference w:type="first" r:id="rId21"/>
      <w:footerReference w:type="first" r:id="rId22"/>
      <w:type w:val="continuous"/>
      <w:pgSz w:w="11907" w:h="16840" w:code="9"/>
      <w:pgMar w:top="1134" w:right="1275" w:bottom="1917" w:left="907" w:header="720" w:footer="90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A52" w:rsidRDefault="00E54A52">
      <w:r>
        <w:separator/>
      </w:r>
    </w:p>
  </w:endnote>
  <w:endnote w:type="continuationSeparator" w:id="0">
    <w:p w:rsidR="00E54A52" w:rsidRDefault="00E5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Univers 45 Light">
    <w:charset w:val="00"/>
    <w:family w:val="auto"/>
    <w:pitch w:val="variable"/>
    <w:sig w:usb0="00000003" w:usb1="00000000" w:usb2="00000000" w:usb3="00000000" w:csb0="00000001" w:csb1="00000000"/>
  </w:font>
  <w:font w:name="KPMG Logos V0.92">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52" w:rsidRPr="00475708" w:rsidRDefault="00E54A52" w:rsidP="00475708">
    <w:pPr>
      <w:pStyle w:val="Footer"/>
      <w:rPr>
        <w:rFonts w:ascii="Verdana" w:hAnsi="Verdana"/>
      </w:rPr>
    </w:pPr>
    <w:r w:rsidRPr="00475708">
      <w:rPr>
        <w:rFonts w:ascii="Verdana" w:hAnsi="Verdana"/>
      </w:rPr>
      <w:tab/>
    </w:r>
    <w:r w:rsidRPr="00475708">
      <w:rPr>
        <w:rStyle w:val="PageNumber"/>
        <w:rFonts w:ascii="Verdana" w:hAnsi="Verdana"/>
      </w:rPr>
      <w:fldChar w:fldCharType="begin"/>
    </w:r>
    <w:r w:rsidRPr="00475708">
      <w:rPr>
        <w:rStyle w:val="PageNumber"/>
        <w:rFonts w:ascii="Verdana" w:hAnsi="Verdana"/>
      </w:rPr>
      <w:instrText xml:space="preserve"> PAGE </w:instrText>
    </w:r>
    <w:r w:rsidRPr="00475708">
      <w:rPr>
        <w:rStyle w:val="PageNumber"/>
        <w:rFonts w:ascii="Verdana" w:hAnsi="Verdana"/>
      </w:rPr>
      <w:fldChar w:fldCharType="separate"/>
    </w:r>
    <w:r w:rsidR="00943A54">
      <w:rPr>
        <w:rStyle w:val="PageNumber"/>
        <w:rFonts w:ascii="Verdana" w:hAnsi="Verdana"/>
        <w:noProof/>
      </w:rPr>
      <w:t>2</w:t>
    </w:r>
    <w:r w:rsidRPr="00475708">
      <w:rPr>
        <w:rStyle w:val="PageNumber"/>
        <w:rFonts w:ascii="Verdana" w:hAnsi="Verda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52" w:rsidRDefault="00E54A52" w:rsidP="007A37C6">
    <w:pPr>
      <w:pStyle w:val="Footer"/>
      <w:framePr w:wrap="around" w:vAnchor="text" w:hAnchor="margin" w:xAlign="center" w:y="1"/>
      <w:rPr>
        <w:rStyle w:val="PageNumber"/>
      </w:rPr>
    </w:pPr>
  </w:p>
  <w:p w:rsidR="00E54A52" w:rsidRPr="00FC654A" w:rsidRDefault="00E54A52" w:rsidP="00E917E1">
    <w:pPr>
      <w:pStyle w:val="Footer"/>
      <w:rPr>
        <w:rFonts w:ascii="Verdana" w:hAnsi="Verdana"/>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6345"/>
      <w:gridCol w:w="3261"/>
    </w:tblGrid>
    <w:tr w:rsidR="00E54A52">
      <w:tc>
        <w:tcPr>
          <w:tcW w:w="6345" w:type="dxa"/>
        </w:tcPr>
        <w:p w:rsidR="00E54A52" w:rsidRDefault="00E54A52">
          <w:pPr>
            <w:pStyle w:val="Footer"/>
            <w:ind w:right="360"/>
            <w:jc w:val="left"/>
            <w:rPr>
              <w:sz w:val="18"/>
            </w:rPr>
          </w:pPr>
        </w:p>
      </w:tc>
      <w:tc>
        <w:tcPr>
          <w:tcW w:w="3261" w:type="dxa"/>
        </w:tcPr>
        <w:p w:rsidR="00E54A52" w:rsidRDefault="00E54A52">
          <w:pPr>
            <w:pStyle w:val="Footer"/>
            <w:jc w:val="right"/>
            <w:rPr>
              <w:sz w:val="18"/>
            </w:rPr>
          </w:pPr>
        </w:p>
      </w:tc>
    </w:tr>
  </w:tbl>
  <w:p w:rsidR="00E54A52" w:rsidRPr="00FC654A" w:rsidRDefault="00E54A52" w:rsidP="00365853">
    <w:pPr>
      <w:pStyle w:val="Footer"/>
      <w:jc w:val="center"/>
      <w:rPr>
        <w:rFonts w:ascii="Verdana" w:hAnsi="Verdana"/>
        <w:b/>
      </w:rPr>
    </w:pPr>
    <w:r w:rsidRPr="00FC654A">
      <w:rPr>
        <w:rStyle w:val="PageNumber"/>
        <w:rFonts w:ascii="Verdana" w:hAnsi="Verdana"/>
        <w:b/>
      </w:rPr>
      <w:fldChar w:fldCharType="begin"/>
    </w:r>
    <w:r w:rsidRPr="00FC654A">
      <w:rPr>
        <w:rStyle w:val="PageNumber"/>
        <w:rFonts w:ascii="Verdana" w:hAnsi="Verdana"/>
        <w:b/>
      </w:rPr>
      <w:instrText xml:space="preserve"> PAGE </w:instrText>
    </w:r>
    <w:r w:rsidRPr="00FC654A">
      <w:rPr>
        <w:rStyle w:val="PageNumber"/>
        <w:rFonts w:ascii="Verdana" w:hAnsi="Verdana"/>
        <w:b/>
      </w:rPr>
      <w:fldChar w:fldCharType="separate"/>
    </w:r>
    <w:r w:rsidR="00943A54">
      <w:rPr>
        <w:rStyle w:val="PageNumber"/>
        <w:rFonts w:ascii="Verdana" w:hAnsi="Verdana"/>
        <w:b/>
        <w:noProof/>
      </w:rPr>
      <w:t>13</w:t>
    </w:r>
    <w:r w:rsidRPr="00FC654A">
      <w:rPr>
        <w:rStyle w:val="PageNumber"/>
        <w:rFonts w:ascii="Verdana" w:hAnsi="Verdana"/>
        <w: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52" w:rsidRPr="00FC654A" w:rsidRDefault="00E54A52" w:rsidP="00365853">
    <w:pPr>
      <w:pStyle w:val="Footer"/>
      <w:jc w:val="center"/>
      <w:rPr>
        <w:rFonts w:ascii="Verdana" w:hAnsi="Verdana"/>
        <w:b/>
      </w:rPr>
    </w:pPr>
    <w:r w:rsidRPr="00FC654A">
      <w:rPr>
        <w:rStyle w:val="PageNumber"/>
        <w:rFonts w:ascii="Verdana" w:hAnsi="Verdana"/>
        <w:b/>
      </w:rPr>
      <w:fldChar w:fldCharType="begin"/>
    </w:r>
    <w:r w:rsidRPr="00FC654A">
      <w:rPr>
        <w:rStyle w:val="PageNumber"/>
        <w:rFonts w:ascii="Verdana" w:hAnsi="Verdana"/>
        <w:b/>
      </w:rPr>
      <w:instrText xml:space="preserve"> PAGE </w:instrText>
    </w:r>
    <w:r w:rsidRPr="00FC654A">
      <w:rPr>
        <w:rStyle w:val="PageNumber"/>
        <w:rFonts w:ascii="Verdana" w:hAnsi="Verdana"/>
        <w:b/>
      </w:rPr>
      <w:fldChar w:fldCharType="separate"/>
    </w:r>
    <w:r>
      <w:rPr>
        <w:rStyle w:val="PageNumber"/>
        <w:rFonts w:ascii="Verdana" w:hAnsi="Verdana"/>
        <w:b/>
        <w:noProof/>
      </w:rPr>
      <w:t>3</w:t>
    </w:r>
    <w:r w:rsidRPr="00FC654A">
      <w:rPr>
        <w:rStyle w:val="PageNumber"/>
        <w:rFonts w:ascii="Verdana" w:hAnsi="Verdana"/>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6838"/>
      <w:gridCol w:w="2612"/>
    </w:tblGrid>
    <w:tr w:rsidR="00E54A52" w:rsidTr="00365853">
      <w:trPr>
        <w:trHeight w:val="322"/>
      </w:trPr>
      <w:tc>
        <w:tcPr>
          <w:tcW w:w="6838" w:type="dxa"/>
        </w:tcPr>
        <w:p w:rsidR="00E54A52" w:rsidRPr="00D5664E" w:rsidRDefault="00E54A52" w:rsidP="00365853">
          <w:pPr>
            <w:pStyle w:val="Footer"/>
            <w:jc w:val="center"/>
            <w:rPr>
              <w:rFonts w:ascii="Verdana" w:hAnsi="Verdana"/>
              <w:b/>
              <w:szCs w:val="22"/>
            </w:rPr>
          </w:pPr>
        </w:p>
      </w:tc>
      <w:tc>
        <w:tcPr>
          <w:tcW w:w="2612" w:type="dxa"/>
        </w:tcPr>
        <w:p w:rsidR="00E54A52" w:rsidRDefault="00E54A52">
          <w:pPr>
            <w:pStyle w:val="Footer"/>
            <w:jc w:val="right"/>
            <w:rPr>
              <w:sz w:val="18"/>
            </w:rPr>
          </w:pPr>
        </w:p>
      </w:tc>
    </w:tr>
  </w:tbl>
  <w:p w:rsidR="00E54A52" w:rsidRDefault="00E54A52" w:rsidP="00365853">
    <w:pPr>
      <w:pStyle w:val="Footer"/>
      <w:jc w:val="center"/>
      <w:rPr>
        <w:rStyle w:val="PageNumber"/>
      </w:rPr>
    </w:pPr>
    <w:r>
      <w:rPr>
        <w:rStyle w:val="PageNumber"/>
        <w:rFonts w:ascii="Verdana" w:hAnsi="Verdana"/>
        <w:b/>
        <w:szCs w:val="22"/>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52" w:rsidRDefault="00E54A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32</w:t>
    </w:r>
    <w:r>
      <w:rPr>
        <w:rStyle w:val="PageNumber"/>
      </w:rPr>
      <w:fldChar w:fldCharType="end"/>
    </w:r>
  </w:p>
  <w:p w:rsidR="00E54A52" w:rsidRDefault="00E54A52">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6345"/>
      <w:gridCol w:w="3261"/>
    </w:tblGrid>
    <w:tr w:rsidR="00E54A52">
      <w:tc>
        <w:tcPr>
          <w:tcW w:w="6345" w:type="dxa"/>
        </w:tcPr>
        <w:p w:rsidR="00E54A52" w:rsidRDefault="00E54A52">
          <w:pPr>
            <w:pStyle w:val="Footer"/>
            <w:ind w:right="360"/>
            <w:jc w:val="left"/>
            <w:rPr>
              <w:sz w:val="18"/>
            </w:rPr>
          </w:pPr>
        </w:p>
      </w:tc>
      <w:tc>
        <w:tcPr>
          <w:tcW w:w="3261" w:type="dxa"/>
        </w:tcPr>
        <w:p w:rsidR="00E54A52" w:rsidRDefault="00E54A52">
          <w:pPr>
            <w:pStyle w:val="Footer"/>
            <w:jc w:val="right"/>
            <w:rPr>
              <w:sz w:val="18"/>
            </w:rPr>
          </w:pPr>
        </w:p>
      </w:tc>
    </w:tr>
  </w:tbl>
  <w:p w:rsidR="00E54A52" w:rsidRPr="00FC654A" w:rsidRDefault="00E54A52" w:rsidP="00365853">
    <w:pPr>
      <w:pStyle w:val="Footer"/>
      <w:jc w:val="center"/>
      <w:rPr>
        <w:rFonts w:ascii="Verdana" w:hAnsi="Verdana"/>
        <w:b/>
      </w:rPr>
    </w:pPr>
    <w:r w:rsidRPr="00FC654A">
      <w:rPr>
        <w:rStyle w:val="PageNumber"/>
        <w:rFonts w:ascii="Verdana" w:hAnsi="Verdana"/>
        <w:b/>
      </w:rPr>
      <w:fldChar w:fldCharType="begin"/>
    </w:r>
    <w:r w:rsidRPr="00FC654A">
      <w:rPr>
        <w:rStyle w:val="PageNumber"/>
        <w:rFonts w:ascii="Verdana" w:hAnsi="Verdana"/>
        <w:b/>
      </w:rPr>
      <w:instrText xml:space="preserve"> PAGE </w:instrText>
    </w:r>
    <w:r w:rsidRPr="00FC654A">
      <w:rPr>
        <w:rStyle w:val="PageNumber"/>
        <w:rFonts w:ascii="Verdana" w:hAnsi="Verdana"/>
        <w:b/>
      </w:rPr>
      <w:fldChar w:fldCharType="separate"/>
    </w:r>
    <w:r w:rsidR="00943A54">
      <w:rPr>
        <w:rStyle w:val="PageNumber"/>
        <w:rFonts w:ascii="Verdana" w:hAnsi="Verdana"/>
        <w:b/>
        <w:noProof/>
      </w:rPr>
      <w:t>19</w:t>
    </w:r>
    <w:r w:rsidRPr="00FC654A">
      <w:rPr>
        <w:rStyle w:val="PageNumber"/>
        <w:rFonts w:ascii="Verdana" w:hAnsi="Verdana"/>
        <w:b/>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6345"/>
      <w:gridCol w:w="3261"/>
    </w:tblGrid>
    <w:tr w:rsidR="00E54A52">
      <w:tc>
        <w:tcPr>
          <w:tcW w:w="6345" w:type="dxa"/>
        </w:tcPr>
        <w:p w:rsidR="00E54A52" w:rsidRPr="00FC654A" w:rsidRDefault="00E54A52">
          <w:pPr>
            <w:pStyle w:val="Footer"/>
            <w:jc w:val="left"/>
            <w:rPr>
              <w:rFonts w:ascii="Verdana" w:hAnsi="Verdana"/>
              <w:b/>
              <w:sz w:val="18"/>
            </w:rPr>
          </w:pPr>
          <w:r w:rsidRPr="00FC654A">
            <w:rPr>
              <w:rFonts w:ascii="Verdana" w:hAnsi="Verdana"/>
              <w:b/>
              <w:sz w:val="18"/>
            </w:rPr>
            <w:fldChar w:fldCharType="begin"/>
          </w:r>
          <w:r w:rsidRPr="00FC654A">
            <w:rPr>
              <w:rFonts w:ascii="Verdana" w:hAnsi="Verdana"/>
              <w:b/>
              <w:sz w:val="18"/>
            </w:rPr>
            <w:instrText xml:space="preserve"> STYLEREF "Cover Date" \* MERGEFORMAT </w:instrText>
          </w:r>
          <w:r w:rsidRPr="00FC654A">
            <w:rPr>
              <w:rFonts w:ascii="Verdana" w:hAnsi="Verdana"/>
              <w:b/>
              <w:sz w:val="18"/>
            </w:rPr>
            <w:fldChar w:fldCharType="end"/>
          </w:r>
          <w:bookmarkStart w:id="93" w:name="ReportToAuditorsPage"/>
          <w:bookmarkStart w:id="94" w:name="_Toc360004344"/>
          <w:bookmarkStart w:id="95" w:name="_Toc372451428"/>
          <w:bookmarkStart w:id="96" w:name="_Toc372714799"/>
          <w:bookmarkStart w:id="97" w:name="_Toc373827137"/>
          <w:bookmarkStart w:id="98" w:name="_Toc374516813"/>
          <w:bookmarkStart w:id="99" w:name="_Toc379084155"/>
          <w:bookmarkStart w:id="100" w:name="_Toc379084661"/>
          <w:bookmarkStart w:id="101" w:name="_Toc379288014"/>
          <w:bookmarkStart w:id="102" w:name="_Toc379340738"/>
          <w:bookmarkStart w:id="103" w:name="_Toc379431134"/>
          <w:bookmarkStart w:id="104" w:name="_Toc386095955"/>
          <w:bookmarkStart w:id="105" w:name="_Toc386274262"/>
          <w:bookmarkStart w:id="106" w:name="_Toc457718234"/>
          <w:bookmarkStart w:id="107" w:name="_Toc533480458"/>
          <w:bookmarkEnd w:id="93"/>
        </w:p>
      </w:tc>
      <w:tc>
        <w:tcPr>
          <w:tcW w:w="3261" w:type="dxa"/>
        </w:tcPr>
        <w:p w:rsidR="00E54A52" w:rsidRDefault="00E54A52">
          <w:pPr>
            <w:pStyle w:val="Footer"/>
            <w:jc w:val="right"/>
          </w:pPr>
        </w:p>
      </w:tc>
    </w:tr>
  </w:tbl>
  <w:bookmarkEnd w:id="94"/>
  <w:bookmarkEnd w:id="95"/>
  <w:bookmarkEnd w:id="96"/>
  <w:bookmarkEnd w:id="97"/>
  <w:bookmarkEnd w:id="98"/>
  <w:bookmarkEnd w:id="99"/>
  <w:bookmarkEnd w:id="100"/>
  <w:bookmarkEnd w:id="101"/>
  <w:bookmarkEnd w:id="102"/>
  <w:bookmarkEnd w:id="103"/>
  <w:bookmarkEnd w:id="104"/>
  <w:bookmarkEnd w:id="105"/>
  <w:bookmarkEnd w:id="106"/>
  <w:bookmarkEnd w:id="107"/>
  <w:p w:rsidR="00E54A52" w:rsidRDefault="00E54A52">
    <w:pPr>
      <w:pStyle w:val="Footer"/>
      <w:jc w:val="center"/>
    </w:pPr>
    <w:r w:rsidRPr="00FC654A">
      <w:rPr>
        <w:rStyle w:val="PageNumber"/>
        <w:rFonts w:ascii="Verdana" w:hAnsi="Verdana"/>
        <w:b/>
      </w:rPr>
      <w:fldChar w:fldCharType="begin"/>
    </w:r>
    <w:r w:rsidRPr="00FC654A">
      <w:rPr>
        <w:rStyle w:val="PageNumber"/>
        <w:rFonts w:ascii="Verdana" w:hAnsi="Verdana"/>
        <w:b/>
      </w:rPr>
      <w:instrText xml:space="preserve"> PAGE </w:instrText>
    </w:r>
    <w:r w:rsidRPr="00FC654A">
      <w:rPr>
        <w:rStyle w:val="PageNumber"/>
        <w:rFonts w:ascii="Verdana" w:hAnsi="Verdana"/>
        <w:b/>
      </w:rPr>
      <w:fldChar w:fldCharType="separate"/>
    </w:r>
    <w:r>
      <w:rPr>
        <w:rStyle w:val="PageNumber"/>
        <w:rFonts w:ascii="Verdana" w:hAnsi="Verdana"/>
        <w:b/>
        <w:noProof/>
      </w:rPr>
      <w:t>15</w:t>
    </w:r>
    <w:r w:rsidRPr="00FC654A">
      <w:rPr>
        <w:rStyle w:val="PageNumber"/>
        <w:rFonts w:ascii="Verdana" w:hAnsi="Verdana"/>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A52" w:rsidRDefault="00E54A52">
      <w:r>
        <w:separator/>
      </w:r>
    </w:p>
  </w:footnote>
  <w:footnote w:type="continuationSeparator" w:id="0">
    <w:p w:rsidR="00E54A52" w:rsidRDefault="00E54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Layout w:type="fixed"/>
      <w:tblLook w:val="0000" w:firstRow="0" w:lastRow="0" w:firstColumn="0" w:lastColumn="0" w:noHBand="0" w:noVBand="0"/>
    </w:tblPr>
    <w:tblGrid>
      <w:gridCol w:w="1526"/>
      <w:gridCol w:w="8080"/>
    </w:tblGrid>
    <w:tr w:rsidR="00E54A52">
      <w:tc>
        <w:tcPr>
          <w:tcW w:w="1526" w:type="dxa"/>
        </w:tcPr>
        <w:p w:rsidR="00E54A52" w:rsidRDefault="00E54A52">
          <w:pPr>
            <w:pStyle w:val="KPMGSmalllogo"/>
            <w:spacing w:before="0"/>
          </w:pPr>
        </w:p>
      </w:tc>
      <w:tc>
        <w:tcPr>
          <w:tcW w:w="8080" w:type="dxa"/>
        </w:tcPr>
        <w:p w:rsidR="00E54A52" w:rsidRDefault="00E54A52">
          <w:pPr>
            <w:pStyle w:val="Header"/>
            <w:rPr>
              <w:i w:val="0"/>
            </w:rPr>
          </w:pPr>
          <w:r>
            <w:rPr>
              <w:i w:val="0"/>
            </w:rPr>
            <w:fldChar w:fldCharType="begin"/>
          </w:r>
          <w:r>
            <w:rPr>
              <w:i w:val="0"/>
            </w:rPr>
            <w:instrText xml:space="preserve"> STYLEREF "Cover Client Name" </w:instrText>
          </w:r>
          <w:r>
            <w:rPr>
              <w:i w:val="0"/>
            </w:rPr>
            <w:fldChar w:fldCharType="end"/>
          </w:r>
        </w:p>
      </w:tc>
    </w:tr>
    <w:tr w:rsidR="00E54A52">
      <w:tc>
        <w:tcPr>
          <w:tcW w:w="1526" w:type="dxa"/>
        </w:tcPr>
        <w:p w:rsidR="00E54A52" w:rsidRDefault="00E54A52">
          <w:pPr>
            <w:pStyle w:val="Header"/>
          </w:pPr>
        </w:p>
      </w:tc>
      <w:tc>
        <w:tcPr>
          <w:tcW w:w="8080" w:type="dxa"/>
        </w:tcPr>
        <w:p w:rsidR="00E54A52" w:rsidRPr="00FC719F" w:rsidRDefault="00E54A52" w:rsidP="003A4901">
          <w:pPr>
            <w:pStyle w:val="Header"/>
            <w:rPr>
              <w:rFonts w:ascii="Arial" w:hAnsi="Arial" w:cs="Arial"/>
              <w:i w:val="0"/>
            </w:rPr>
          </w:pPr>
          <w:r w:rsidRPr="00FC719F">
            <w:rPr>
              <w:rFonts w:ascii="Arial" w:hAnsi="Arial" w:cs="Arial"/>
              <w:i w:val="0"/>
            </w:rPr>
            <w:fldChar w:fldCharType="begin"/>
          </w:r>
          <w:r w:rsidRPr="00FC719F">
            <w:rPr>
              <w:rFonts w:ascii="Arial" w:hAnsi="Arial" w:cs="Arial"/>
              <w:i w:val="0"/>
            </w:rPr>
            <w:instrText xml:space="preserve"> STYLEREF "Cover Client Name" </w:instrText>
          </w:r>
          <w:r w:rsidRPr="00FC719F">
            <w:rPr>
              <w:rFonts w:ascii="Arial" w:hAnsi="Arial" w:cs="Arial"/>
              <w:i w:val="0"/>
            </w:rPr>
            <w:fldChar w:fldCharType="end"/>
          </w:r>
          <w:r w:rsidRPr="00FC719F">
            <w:rPr>
              <w:rFonts w:ascii="Arial" w:hAnsi="Arial" w:cs="Arial"/>
              <w:i w:val="0"/>
            </w:rPr>
            <w:t xml:space="preserve"> </w:t>
          </w:r>
          <w:r>
            <w:rPr>
              <w:rFonts w:ascii="Arial" w:hAnsi="Arial" w:cs="Arial"/>
              <w:i w:val="0"/>
            </w:rPr>
            <w:t>Tower Hamlets</w:t>
          </w:r>
          <w:r w:rsidRPr="00FC719F">
            <w:rPr>
              <w:rFonts w:ascii="Arial" w:hAnsi="Arial" w:cs="Arial"/>
              <w:i w:val="0"/>
            </w:rPr>
            <w:t xml:space="preserve">  Homes Limited</w:t>
          </w:r>
        </w:p>
      </w:tc>
    </w:tr>
    <w:tr w:rsidR="00E54A52">
      <w:tc>
        <w:tcPr>
          <w:tcW w:w="1526" w:type="dxa"/>
        </w:tcPr>
        <w:p w:rsidR="00E54A52" w:rsidRDefault="00E54A52">
          <w:pPr>
            <w:pStyle w:val="Header"/>
          </w:pPr>
        </w:p>
      </w:tc>
      <w:tc>
        <w:tcPr>
          <w:tcW w:w="8080" w:type="dxa"/>
        </w:tcPr>
        <w:p w:rsidR="00E54A52" w:rsidRPr="00FC719F" w:rsidRDefault="00E54A52" w:rsidP="003A4901">
          <w:pPr>
            <w:pStyle w:val="Header"/>
            <w:rPr>
              <w:rFonts w:ascii="Arial" w:hAnsi="Arial" w:cs="Arial"/>
              <w:i w:val="0"/>
            </w:rPr>
          </w:pPr>
          <w:r w:rsidRPr="00FC719F">
            <w:rPr>
              <w:rFonts w:ascii="Arial" w:hAnsi="Arial" w:cs="Arial"/>
              <w:i w:val="0"/>
            </w:rPr>
            <w:t>Directors’ Report and Financial Statements</w:t>
          </w:r>
        </w:p>
      </w:tc>
    </w:tr>
    <w:tr w:rsidR="00E54A52">
      <w:tc>
        <w:tcPr>
          <w:tcW w:w="1526" w:type="dxa"/>
        </w:tcPr>
        <w:p w:rsidR="00E54A52" w:rsidRDefault="00E54A52">
          <w:pPr>
            <w:pStyle w:val="Header"/>
          </w:pPr>
        </w:p>
      </w:tc>
      <w:tc>
        <w:tcPr>
          <w:tcW w:w="8080" w:type="dxa"/>
        </w:tcPr>
        <w:p w:rsidR="00E54A52" w:rsidRPr="00FC719F" w:rsidRDefault="00E54A52" w:rsidP="003A4901">
          <w:pPr>
            <w:pStyle w:val="Header"/>
            <w:rPr>
              <w:rFonts w:ascii="Arial" w:hAnsi="Arial" w:cs="Arial"/>
              <w:i w:val="0"/>
            </w:rPr>
          </w:pPr>
          <w:r w:rsidRPr="00FC719F">
            <w:rPr>
              <w:rFonts w:ascii="Arial" w:hAnsi="Arial" w:cs="Arial"/>
              <w:i w:val="0"/>
            </w:rPr>
            <w:t>31</w:t>
          </w:r>
          <w:r w:rsidRPr="00FC719F">
            <w:rPr>
              <w:rFonts w:ascii="Arial" w:hAnsi="Arial" w:cs="Arial"/>
              <w:i w:val="0"/>
              <w:vertAlign w:val="superscript"/>
            </w:rPr>
            <w:t xml:space="preserve"> </w:t>
          </w:r>
          <w:r w:rsidRPr="00FC719F">
            <w:rPr>
              <w:rFonts w:ascii="Arial" w:hAnsi="Arial" w:cs="Arial"/>
              <w:i w:val="0"/>
            </w:rPr>
            <w:t xml:space="preserve">March </w:t>
          </w:r>
          <w:r>
            <w:rPr>
              <w:rFonts w:ascii="Arial" w:hAnsi="Arial" w:cs="Arial"/>
              <w:i w:val="0"/>
            </w:rPr>
            <w:t>2018</w:t>
          </w:r>
        </w:p>
        <w:p w:rsidR="00E54A52" w:rsidRPr="00FC719F" w:rsidRDefault="00E54A52" w:rsidP="003A4901">
          <w:pPr>
            <w:pStyle w:val="Header"/>
            <w:rPr>
              <w:rFonts w:ascii="Arial" w:hAnsi="Arial" w:cs="Arial"/>
              <w:i w:val="0"/>
            </w:rPr>
          </w:pPr>
          <w:r w:rsidRPr="00FC719F">
            <w:rPr>
              <w:rFonts w:ascii="Arial" w:hAnsi="Arial" w:cs="Arial"/>
              <w:i w:val="0"/>
            </w:rPr>
            <w:fldChar w:fldCharType="begin"/>
          </w:r>
          <w:r w:rsidRPr="00FC719F">
            <w:rPr>
              <w:rFonts w:ascii="Arial" w:hAnsi="Arial" w:cs="Arial"/>
              <w:i w:val="0"/>
            </w:rPr>
            <w:instrText xml:space="preserve"> STYLEREF "Cover Date" </w:instrText>
          </w:r>
          <w:r w:rsidRPr="00FC719F">
            <w:rPr>
              <w:rFonts w:ascii="Arial" w:hAnsi="Arial" w:cs="Arial"/>
              <w:i w:val="0"/>
            </w:rPr>
            <w:fldChar w:fldCharType="end"/>
          </w:r>
        </w:p>
      </w:tc>
    </w:tr>
  </w:tbl>
  <w:p w:rsidR="00E54A52" w:rsidRDefault="00E54A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526"/>
      <w:gridCol w:w="8080"/>
    </w:tblGrid>
    <w:tr w:rsidR="00E54A52">
      <w:tc>
        <w:tcPr>
          <w:tcW w:w="1526" w:type="dxa"/>
        </w:tcPr>
        <w:p w:rsidR="00E54A52" w:rsidRDefault="00E54A52">
          <w:pPr>
            <w:pStyle w:val="KPMGSmalllogo"/>
            <w:spacing w:before="0"/>
          </w:pPr>
        </w:p>
      </w:tc>
      <w:tc>
        <w:tcPr>
          <w:tcW w:w="8080" w:type="dxa"/>
        </w:tcPr>
        <w:p w:rsidR="00E54A52" w:rsidRPr="00FC719F" w:rsidRDefault="00E54A52">
          <w:pPr>
            <w:pStyle w:val="Header"/>
            <w:rPr>
              <w:rFonts w:ascii="Arial" w:hAnsi="Arial" w:cs="Arial"/>
              <w:i w:val="0"/>
            </w:rPr>
          </w:pPr>
          <w:r w:rsidRPr="00FC719F">
            <w:rPr>
              <w:rFonts w:ascii="Arial" w:hAnsi="Arial" w:cs="Arial"/>
              <w:i w:val="0"/>
            </w:rPr>
            <w:fldChar w:fldCharType="begin"/>
          </w:r>
          <w:r w:rsidRPr="00FC719F">
            <w:rPr>
              <w:rFonts w:ascii="Arial" w:hAnsi="Arial" w:cs="Arial"/>
              <w:i w:val="0"/>
            </w:rPr>
            <w:instrText xml:space="preserve"> STYLEREF "Cover Client Name" </w:instrText>
          </w:r>
          <w:r w:rsidRPr="00FC719F">
            <w:rPr>
              <w:rFonts w:ascii="Arial" w:hAnsi="Arial" w:cs="Arial"/>
              <w:i w:val="0"/>
            </w:rPr>
            <w:fldChar w:fldCharType="end"/>
          </w:r>
          <w:r w:rsidRPr="00FC719F">
            <w:rPr>
              <w:rFonts w:ascii="Arial" w:hAnsi="Arial" w:cs="Arial"/>
              <w:i w:val="0"/>
            </w:rPr>
            <w:t xml:space="preserve"> </w:t>
          </w:r>
          <w:r>
            <w:rPr>
              <w:rFonts w:ascii="Arial" w:hAnsi="Arial" w:cs="Arial"/>
              <w:i w:val="0"/>
            </w:rPr>
            <w:t>Tower Hamlets</w:t>
          </w:r>
          <w:r w:rsidRPr="00FC719F">
            <w:rPr>
              <w:rFonts w:ascii="Arial" w:hAnsi="Arial" w:cs="Arial"/>
              <w:i w:val="0"/>
            </w:rPr>
            <w:t xml:space="preserve">  Homes Limited</w:t>
          </w:r>
        </w:p>
      </w:tc>
    </w:tr>
    <w:tr w:rsidR="00E54A52">
      <w:tc>
        <w:tcPr>
          <w:tcW w:w="1526" w:type="dxa"/>
        </w:tcPr>
        <w:p w:rsidR="00E54A52" w:rsidRDefault="00E54A52">
          <w:pPr>
            <w:pStyle w:val="Header"/>
          </w:pPr>
        </w:p>
      </w:tc>
      <w:tc>
        <w:tcPr>
          <w:tcW w:w="8080" w:type="dxa"/>
        </w:tcPr>
        <w:p w:rsidR="00E54A52" w:rsidRPr="00FC719F" w:rsidRDefault="00E54A52">
          <w:pPr>
            <w:pStyle w:val="Header"/>
            <w:rPr>
              <w:rFonts w:ascii="Arial" w:hAnsi="Arial" w:cs="Arial"/>
              <w:i w:val="0"/>
            </w:rPr>
          </w:pPr>
          <w:r w:rsidRPr="00FC719F">
            <w:rPr>
              <w:rFonts w:ascii="Arial" w:hAnsi="Arial" w:cs="Arial"/>
              <w:i w:val="0"/>
            </w:rPr>
            <w:t>Directors’ Report and Financial Statements</w:t>
          </w:r>
        </w:p>
      </w:tc>
    </w:tr>
    <w:tr w:rsidR="00E54A52">
      <w:tc>
        <w:tcPr>
          <w:tcW w:w="1526" w:type="dxa"/>
        </w:tcPr>
        <w:p w:rsidR="00E54A52" w:rsidRDefault="00E54A52">
          <w:pPr>
            <w:pStyle w:val="Header"/>
          </w:pPr>
        </w:p>
      </w:tc>
      <w:tc>
        <w:tcPr>
          <w:tcW w:w="8080" w:type="dxa"/>
        </w:tcPr>
        <w:p w:rsidR="00E54A52" w:rsidRPr="00FC719F" w:rsidRDefault="00E54A52">
          <w:pPr>
            <w:pStyle w:val="Header"/>
            <w:rPr>
              <w:rFonts w:ascii="Arial" w:hAnsi="Arial" w:cs="Arial"/>
              <w:i w:val="0"/>
            </w:rPr>
          </w:pPr>
          <w:r w:rsidRPr="00FC719F">
            <w:rPr>
              <w:rFonts w:ascii="Arial" w:hAnsi="Arial" w:cs="Arial"/>
              <w:i w:val="0"/>
            </w:rPr>
            <w:t>31</w:t>
          </w:r>
          <w:r w:rsidRPr="00FC719F">
            <w:rPr>
              <w:rFonts w:ascii="Arial" w:hAnsi="Arial" w:cs="Arial"/>
              <w:i w:val="0"/>
              <w:vertAlign w:val="superscript"/>
            </w:rPr>
            <w:t xml:space="preserve"> </w:t>
          </w:r>
          <w:r w:rsidRPr="00FC719F">
            <w:rPr>
              <w:rFonts w:ascii="Arial" w:hAnsi="Arial" w:cs="Arial"/>
              <w:i w:val="0"/>
            </w:rPr>
            <w:t xml:space="preserve">March </w:t>
          </w:r>
          <w:r>
            <w:rPr>
              <w:rFonts w:ascii="Arial" w:hAnsi="Arial" w:cs="Arial"/>
              <w:i w:val="0"/>
            </w:rPr>
            <w:t>2014</w:t>
          </w:r>
          <w:r w:rsidRPr="00FC719F">
            <w:rPr>
              <w:rFonts w:ascii="Arial" w:hAnsi="Arial" w:cs="Arial"/>
              <w:i w:val="0"/>
            </w:rPr>
            <w:fldChar w:fldCharType="begin"/>
          </w:r>
          <w:r w:rsidRPr="00FC719F">
            <w:rPr>
              <w:rFonts w:ascii="Arial" w:hAnsi="Arial" w:cs="Arial"/>
              <w:i w:val="0"/>
            </w:rPr>
            <w:instrText xml:space="preserve"> STYLEREF "Cover Date" </w:instrText>
          </w:r>
          <w:r w:rsidRPr="00FC719F">
            <w:rPr>
              <w:rFonts w:ascii="Arial" w:hAnsi="Arial" w:cs="Arial"/>
              <w:i w:val="0"/>
            </w:rPr>
            <w:fldChar w:fldCharType="end"/>
          </w:r>
        </w:p>
      </w:tc>
    </w:tr>
    <w:tr w:rsidR="00E54A52">
      <w:tc>
        <w:tcPr>
          <w:tcW w:w="1526" w:type="dxa"/>
        </w:tcPr>
        <w:p w:rsidR="00E54A52" w:rsidRDefault="00E54A52" w:rsidP="00173A75">
          <w:pPr>
            <w:pStyle w:val="Header"/>
            <w:jc w:val="both"/>
          </w:pPr>
        </w:p>
      </w:tc>
      <w:tc>
        <w:tcPr>
          <w:tcW w:w="8080" w:type="dxa"/>
        </w:tcPr>
        <w:p w:rsidR="00E54A52" w:rsidRPr="00FC719F" w:rsidRDefault="00E54A52">
          <w:pPr>
            <w:pStyle w:val="Header"/>
            <w:rPr>
              <w:rFonts w:ascii="Arial" w:hAnsi="Arial" w:cs="Arial"/>
              <w:i w:val="0"/>
            </w:rPr>
          </w:pPr>
        </w:p>
      </w:tc>
    </w:tr>
  </w:tbl>
  <w:p w:rsidR="00E54A52" w:rsidRDefault="00E54A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Layout w:type="fixed"/>
      <w:tblLook w:val="0000" w:firstRow="0" w:lastRow="0" w:firstColumn="0" w:lastColumn="0" w:noHBand="0" w:noVBand="0"/>
    </w:tblPr>
    <w:tblGrid>
      <w:gridCol w:w="1526"/>
      <w:gridCol w:w="8080"/>
    </w:tblGrid>
    <w:tr w:rsidR="00E54A52" w:rsidTr="00D84D18">
      <w:tc>
        <w:tcPr>
          <w:tcW w:w="1526" w:type="dxa"/>
        </w:tcPr>
        <w:p w:rsidR="00E54A52" w:rsidRDefault="00E54A52" w:rsidP="00D84D18">
          <w:pPr>
            <w:pStyle w:val="KPMGSmalllogo"/>
            <w:spacing w:before="0"/>
          </w:pPr>
        </w:p>
      </w:tc>
      <w:tc>
        <w:tcPr>
          <w:tcW w:w="8080" w:type="dxa"/>
        </w:tcPr>
        <w:p w:rsidR="00E54A52" w:rsidRDefault="00E54A52" w:rsidP="00D84D18">
          <w:pPr>
            <w:pStyle w:val="Header"/>
            <w:rPr>
              <w:i w:val="0"/>
            </w:rPr>
          </w:pPr>
          <w:r>
            <w:rPr>
              <w:i w:val="0"/>
            </w:rPr>
            <w:fldChar w:fldCharType="begin"/>
          </w:r>
          <w:r>
            <w:rPr>
              <w:i w:val="0"/>
            </w:rPr>
            <w:instrText xml:space="preserve"> STYLEREF "Cover Client Name" </w:instrText>
          </w:r>
          <w:r>
            <w:rPr>
              <w:i w:val="0"/>
            </w:rPr>
            <w:fldChar w:fldCharType="end"/>
          </w:r>
        </w:p>
      </w:tc>
    </w:tr>
    <w:tr w:rsidR="00E54A52" w:rsidTr="00D84D18">
      <w:tc>
        <w:tcPr>
          <w:tcW w:w="1526" w:type="dxa"/>
        </w:tcPr>
        <w:p w:rsidR="00E54A52" w:rsidRDefault="00E54A52" w:rsidP="00D84D18">
          <w:pPr>
            <w:pStyle w:val="Header"/>
          </w:pPr>
        </w:p>
      </w:tc>
      <w:tc>
        <w:tcPr>
          <w:tcW w:w="8080" w:type="dxa"/>
        </w:tcPr>
        <w:p w:rsidR="00E54A52" w:rsidRPr="00FC719F" w:rsidRDefault="00E54A52" w:rsidP="00D84D18">
          <w:pPr>
            <w:pStyle w:val="Header"/>
            <w:rPr>
              <w:rFonts w:ascii="Arial" w:hAnsi="Arial" w:cs="Arial"/>
              <w:i w:val="0"/>
            </w:rPr>
          </w:pPr>
          <w:r w:rsidRPr="00FC719F">
            <w:rPr>
              <w:rFonts w:ascii="Arial" w:hAnsi="Arial" w:cs="Arial"/>
              <w:i w:val="0"/>
            </w:rPr>
            <w:fldChar w:fldCharType="begin"/>
          </w:r>
          <w:r w:rsidRPr="00FC719F">
            <w:rPr>
              <w:rFonts w:ascii="Arial" w:hAnsi="Arial" w:cs="Arial"/>
              <w:i w:val="0"/>
            </w:rPr>
            <w:instrText xml:space="preserve"> STYLEREF "Cover Client Name" </w:instrText>
          </w:r>
          <w:r w:rsidRPr="00FC719F">
            <w:rPr>
              <w:rFonts w:ascii="Arial" w:hAnsi="Arial" w:cs="Arial"/>
              <w:i w:val="0"/>
            </w:rPr>
            <w:fldChar w:fldCharType="end"/>
          </w:r>
          <w:r w:rsidRPr="00FC719F">
            <w:rPr>
              <w:rFonts w:ascii="Arial" w:hAnsi="Arial" w:cs="Arial"/>
              <w:i w:val="0"/>
            </w:rPr>
            <w:t xml:space="preserve"> </w:t>
          </w:r>
          <w:r>
            <w:rPr>
              <w:rFonts w:ascii="Arial" w:hAnsi="Arial" w:cs="Arial"/>
              <w:i w:val="0"/>
            </w:rPr>
            <w:t>Tower Hamlets</w:t>
          </w:r>
          <w:r w:rsidRPr="00FC719F">
            <w:rPr>
              <w:rFonts w:ascii="Arial" w:hAnsi="Arial" w:cs="Arial"/>
              <w:i w:val="0"/>
            </w:rPr>
            <w:t xml:space="preserve">  Homes Limited</w:t>
          </w:r>
        </w:p>
      </w:tc>
    </w:tr>
    <w:tr w:rsidR="00E54A52" w:rsidTr="00D84D18">
      <w:tc>
        <w:tcPr>
          <w:tcW w:w="1526" w:type="dxa"/>
        </w:tcPr>
        <w:p w:rsidR="00E54A52" w:rsidRDefault="00E54A52" w:rsidP="00D84D18">
          <w:pPr>
            <w:pStyle w:val="Header"/>
          </w:pPr>
        </w:p>
      </w:tc>
      <w:tc>
        <w:tcPr>
          <w:tcW w:w="8080" w:type="dxa"/>
        </w:tcPr>
        <w:p w:rsidR="00E54A52" w:rsidRPr="00FC719F" w:rsidRDefault="00E54A52" w:rsidP="00D84D18">
          <w:pPr>
            <w:pStyle w:val="Header"/>
            <w:rPr>
              <w:rFonts w:ascii="Arial" w:hAnsi="Arial" w:cs="Arial"/>
              <w:i w:val="0"/>
            </w:rPr>
          </w:pPr>
          <w:r w:rsidRPr="00FC719F">
            <w:rPr>
              <w:rFonts w:ascii="Arial" w:hAnsi="Arial" w:cs="Arial"/>
              <w:i w:val="0"/>
            </w:rPr>
            <w:t>Directors’ Report and Financial Statements</w:t>
          </w:r>
        </w:p>
      </w:tc>
    </w:tr>
    <w:tr w:rsidR="00E54A52" w:rsidTr="00D84D18">
      <w:tc>
        <w:tcPr>
          <w:tcW w:w="1526" w:type="dxa"/>
        </w:tcPr>
        <w:p w:rsidR="00E54A52" w:rsidRDefault="00E54A52" w:rsidP="00D84D18">
          <w:pPr>
            <w:pStyle w:val="Header"/>
          </w:pPr>
        </w:p>
      </w:tc>
      <w:tc>
        <w:tcPr>
          <w:tcW w:w="8080" w:type="dxa"/>
        </w:tcPr>
        <w:p w:rsidR="00E54A52" w:rsidRPr="00FC719F" w:rsidRDefault="00E54A52" w:rsidP="00D84D18">
          <w:pPr>
            <w:pStyle w:val="Header"/>
            <w:rPr>
              <w:rFonts w:ascii="Arial" w:hAnsi="Arial" w:cs="Arial"/>
              <w:i w:val="0"/>
            </w:rPr>
          </w:pPr>
          <w:r w:rsidRPr="00FC719F">
            <w:rPr>
              <w:rFonts w:ascii="Arial" w:hAnsi="Arial" w:cs="Arial"/>
              <w:i w:val="0"/>
            </w:rPr>
            <w:t>31</w:t>
          </w:r>
          <w:r w:rsidRPr="00FC719F">
            <w:rPr>
              <w:rFonts w:ascii="Arial" w:hAnsi="Arial" w:cs="Arial"/>
              <w:i w:val="0"/>
              <w:vertAlign w:val="superscript"/>
            </w:rPr>
            <w:t xml:space="preserve"> </w:t>
          </w:r>
          <w:r w:rsidRPr="00FC719F">
            <w:rPr>
              <w:rFonts w:ascii="Arial" w:hAnsi="Arial" w:cs="Arial"/>
              <w:i w:val="0"/>
            </w:rPr>
            <w:t xml:space="preserve">March </w:t>
          </w:r>
          <w:r>
            <w:rPr>
              <w:rFonts w:ascii="Arial" w:hAnsi="Arial" w:cs="Arial"/>
              <w:i w:val="0"/>
            </w:rPr>
            <w:t>2013</w:t>
          </w:r>
        </w:p>
        <w:p w:rsidR="00E54A52" w:rsidRPr="00FC719F" w:rsidRDefault="00E54A52" w:rsidP="00D84D18">
          <w:pPr>
            <w:pStyle w:val="Header"/>
            <w:rPr>
              <w:rFonts w:ascii="Arial" w:hAnsi="Arial" w:cs="Arial"/>
              <w:i w:val="0"/>
            </w:rPr>
          </w:pPr>
          <w:r w:rsidRPr="00FC719F">
            <w:rPr>
              <w:rFonts w:ascii="Arial" w:hAnsi="Arial" w:cs="Arial"/>
              <w:i w:val="0"/>
            </w:rPr>
            <w:fldChar w:fldCharType="begin"/>
          </w:r>
          <w:r w:rsidRPr="00FC719F">
            <w:rPr>
              <w:rFonts w:ascii="Arial" w:hAnsi="Arial" w:cs="Arial"/>
              <w:i w:val="0"/>
            </w:rPr>
            <w:instrText xml:space="preserve"> STYLEREF "Cover Date" </w:instrText>
          </w:r>
          <w:r w:rsidRPr="00FC719F">
            <w:rPr>
              <w:rFonts w:ascii="Arial" w:hAnsi="Arial" w:cs="Arial"/>
              <w:i w:val="0"/>
            </w:rPr>
            <w:fldChar w:fldCharType="end"/>
          </w:r>
        </w:p>
      </w:tc>
    </w:tr>
  </w:tbl>
  <w:p w:rsidR="00E54A52" w:rsidRPr="00FC719F" w:rsidRDefault="00E54A52" w:rsidP="00001EFE">
    <w:pPr>
      <w:pStyle w:val="Heade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Layout w:type="fixed"/>
      <w:tblLook w:val="0000" w:firstRow="0" w:lastRow="0" w:firstColumn="0" w:lastColumn="0" w:noHBand="0" w:noVBand="0"/>
    </w:tblPr>
    <w:tblGrid>
      <w:gridCol w:w="1526"/>
      <w:gridCol w:w="8080"/>
    </w:tblGrid>
    <w:tr w:rsidR="00E54A52">
      <w:tc>
        <w:tcPr>
          <w:tcW w:w="1526" w:type="dxa"/>
        </w:tcPr>
        <w:p w:rsidR="00E54A52" w:rsidRDefault="00E54A52">
          <w:pPr>
            <w:pStyle w:val="KPMGSmalllogo"/>
            <w:spacing w:before="0"/>
          </w:pPr>
        </w:p>
      </w:tc>
      <w:tc>
        <w:tcPr>
          <w:tcW w:w="8080" w:type="dxa"/>
        </w:tcPr>
        <w:p w:rsidR="00E54A52" w:rsidRPr="00E52D1F" w:rsidRDefault="00E54A52">
          <w:pPr>
            <w:pStyle w:val="Header"/>
            <w:rPr>
              <w:rFonts w:ascii="Verdana" w:hAnsi="Verdana"/>
              <w:i w:val="0"/>
            </w:rPr>
          </w:pPr>
          <w:r w:rsidRPr="00E52D1F">
            <w:rPr>
              <w:rFonts w:ascii="Verdana" w:hAnsi="Verdana"/>
              <w:i w:val="0"/>
            </w:rPr>
            <w:fldChar w:fldCharType="begin"/>
          </w:r>
          <w:r w:rsidRPr="00E52D1F">
            <w:rPr>
              <w:rFonts w:ascii="Verdana" w:hAnsi="Verdana"/>
              <w:i w:val="0"/>
            </w:rPr>
            <w:instrText xml:space="preserve"> STYLEREF "Cover Client Name" </w:instrText>
          </w:r>
          <w:r w:rsidRPr="00E52D1F">
            <w:rPr>
              <w:rFonts w:ascii="Verdana" w:hAnsi="Verdana"/>
              <w:i w:val="0"/>
            </w:rPr>
            <w:fldChar w:fldCharType="end"/>
          </w:r>
        </w:p>
      </w:tc>
    </w:tr>
    <w:tr w:rsidR="00E54A52">
      <w:tc>
        <w:tcPr>
          <w:tcW w:w="1526" w:type="dxa"/>
        </w:tcPr>
        <w:p w:rsidR="00E54A52" w:rsidRDefault="00E54A52">
          <w:pPr>
            <w:pStyle w:val="Header"/>
          </w:pPr>
        </w:p>
      </w:tc>
      <w:tc>
        <w:tcPr>
          <w:tcW w:w="8080" w:type="dxa"/>
        </w:tcPr>
        <w:p w:rsidR="00E54A52" w:rsidRPr="00E52D1F" w:rsidRDefault="00E54A52" w:rsidP="003A4901">
          <w:pPr>
            <w:pStyle w:val="Header"/>
            <w:rPr>
              <w:rFonts w:ascii="Verdana" w:hAnsi="Verdana"/>
              <w:i w:val="0"/>
            </w:rPr>
          </w:pPr>
          <w:r w:rsidRPr="00E52D1F">
            <w:rPr>
              <w:rFonts w:ascii="Verdana" w:hAnsi="Verdana"/>
              <w:i w:val="0"/>
            </w:rPr>
            <w:fldChar w:fldCharType="begin"/>
          </w:r>
          <w:r w:rsidRPr="00E52D1F">
            <w:rPr>
              <w:rFonts w:ascii="Verdana" w:hAnsi="Verdana"/>
              <w:i w:val="0"/>
            </w:rPr>
            <w:instrText xml:space="preserve"> STYLEREF "Cover Client Name" </w:instrText>
          </w:r>
          <w:r w:rsidRPr="00E52D1F">
            <w:rPr>
              <w:rFonts w:ascii="Verdana" w:hAnsi="Verdana"/>
              <w:i w:val="0"/>
            </w:rPr>
            <w:fldChar w:fldCharType="end"/>
          </w:r>
          <w:r w:rsidRPr="00E52D1F">
            <w:rPr>
              <w:rFonts w:ascii="Verdana" w:hAnsi="Verdana"/>
              <w:i w:val="0"/>
            </w:rPr>
            <w:t xml:space="preserve"> Tower Hamlets  Homes Limited</w:t>
          </w:r>
        </w:p>
      </w:tc>
    </w:tr>
    <w:tr w:rsidR="00E54A52">
      <w:tc>
        <w:tcPr>
          <w:tcW w:w="1526" w:type="dxa"/>
        </w:tcPr>
        <w:p w:rsidR="00E54A52" w:rsidRDefault="00E54A52">
          <w:pPr>
            <w:pStyle w:val="Header"/>
          </w:pPr>
        </w:p>
      </w:tc>
      <w:tc>
        <w:tcPr>
          <w:tcW w:w="8080" w:type="dxa"/>
        </w:tcPr>
        <w:p w:rsidR="00E54A52" w:rsidRPr="00E52D1F" w:rsidRDefault="00E54A52" w:rsidP="003A4901">
          <w:pPr>
            <w:pStyle w:val="Header"/>
            <w:rPr>
              <w:rFonts w:ascii="Verdana" w:hAnsi="Verdana"/>
              <w:i w:val="0"/>
            </w:rPr>
          </w:pPr>
          <w:r w:rsidRPr="00E52D1F">
            <w:rPr>
              <w:rFonts w:ascii="Verdana" w:hAnsi="Verdana"/>
              <w:i w:val="0"/>
            </w:rPr>
            <w:t>Directors’ Report and Financial Statements</w:t>
          </w:r>
        </w:p>
      </w:tc>
    </w:tr>
    <w:tr w:rsidR="00E54A52">
      <w:tc>
        <w:tcPr>
          <w:tcW w:w="1526" w:type="dxa"/>
        </w:tcPr>
        <w:p w:rsidR="00E54A52" w:rsidRDefault="00E54A52">
          <w:pPr>
            <w:pStyle w:val="Header"/>
          </w:pPr>
        </w:p>
      </w:tc>
      <w:tc>
        <w:tcPr>
          <w:tcW w:w="8080" w:type="dxa"/>
        </w:tcPr>
        <w:p w:rsidR="00E54A52" w:rsidRPr="00E52D1F" w:rsidRDefault="00E54A52" w:rsidP="00AB1242">
          <w:pPr>
            <w:pStyle w:val="Header"/>
            <w:rPr>
              <w:rFonts w:ascii="Verdana" w:hAnsi="Verdana"/>
              <w:i w:val="0"/>
            </w:rPr>
          </w:pPr>
          <w:r w:rsidRPr="00E52D1F">
            <w:rPr>
              <w:rFonts w:ascii="Verdana" w:hAnsi="Verdana"/>
              <w:i w:val="0"/>
            </w:rPr>
            <w:t>31</w:t>
          </w:r>
          <w:r w:rsidRPr="00E52D1F">
            <w:rPr>
              <w:rFonts w:ascii="Verdana" w:hAnsi="Verdana"/>
              <w:i w:val="0"/>
              <w:vertAlign w:val="superscript"/>
            </w:rPr>
            <w:t xml:space="preserve"> </w:t>
          </w:r>
          <w:r>
            <w:rPr>
              <w:rFonts w:ascii="Verdana" w:hAnsi="Verdana"/>
              <w:i w:val="0"/>
            </w:rPr>
            <w:t>March 2018</w:t>
          </w:r>
          <w:r w:rsidRPr="00E52D1F">
            <w:rPr>
              <w:rFonts w:ascii="Verdana" w:hAnsi="Verdana"/>
              <w:i w:val="0"/>
            </w:rPr>
            <w:fldChar w:fldCharType="begin"/>
          </w:r>
          <w:r w:rsidRPr="00E52D1F">
            <w:rPr>
              <w:rFonts w:ascii="Verdana" w:hAnsi="Verdana"/>
              <w:i w:val="0"/>
            </w:rPr>
            <w:instrText xml:space="preserve"> STYLEREF "Cover Date" </w:instrText>
          </w:r>
          <w:r w:rsidRPr="00E52D1F">
            <w:rPr>
              <w:rFonts w:ascii="Verdana" w:hAnsi="Verdana"/>
              <w:i w:val="0"/>
            </w:rPr>
            <w:fldChar w:fldCharType="end"/>
          </w:r>
        </w:p>
      </w:tc>
    </w:tr>
  </w:tbl>
  <w:p w:rsidR="00E54A52" w:rsidRDefault="00E54A5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388"/>
      <w:gridCol w:w="5076"/>
    </w:tblGrid>
    <w:tr w:rsidR="00E54A52">
      <w:tc>
        <w:tcPr>
          <w:tcW w:w="4388" w:type="dxa"/>
        </w:tcPr>
        <w:p w:rsidR="00E54A52" w:rsidRDefault="00E54A52">
          <w:pPr>
            <w:pStyle w:val="KPMGSmalllogo"/>
            <w:spacing w:before="0"/>
          </w:pPr>
        </w:p>
      </w:tc>
      <w:tc>
        <w:tcPr>
          <w:tcW w:w="5076" w:type="dxa"/>
        </w:tcPr>
        <w:p w:rsidR="00E54A52" w:rsidRDefault="00E54A52">
          <w:pPr>
            <w:pStyle w:val="Header"/>
            <w:rPr>
              <w:i w:val="0"/>
            </w:rPr>
          </w:pPr>
          <w:r>
            <w:rPr>
              <w:i w:val="0"/>
            </w:rPr>
            <w:fldChar w:fldCharType="begin"/>
          </w:r>
          <w:r>
            <w:rPr>
              <w:i w:val="0"/>
            </w:rPr>
            <w:instrText xml:space="preserve"> STYLEREF "Cover Client Name" </w:instrText>
          </w:r>
          <w:r>
            <w:rPr>
              <w:i w:val="0"/>
            </w:rPr>
            <w:fldChar w:fldCharType="end"/>
          </w:r>
        </w:p>
      </w:tc>
    </w:tr>
    <w:tr w:rsidR="00E54A52">
      <w:tc>
        <w:tcPr>
          <w:tcW w:w="4388" w:type="dxa"/>
        </w:tcPr>
        <w:p w:rsidR="00E54A52" w:rsidRDefault="00E54A52">
          <w:pPr>
            <w:pStyle w:val="Header"/>
          </w:pPr>
        </w:p>
      </w:tc>
      <w:tc>
        <w:tcPr>
          <w:tcW w:w="5076" w:type="dxa"/>
        </w:tcPr>
        <w:p w:rsidR="00E54A52" w:rsidRPr="000C3F6D" w:rsidRDefault="00E54A52" w:rsidP="003A4901">
          <w:pPr>
            <w:pStyle w:val="Header"/>
            <w:rPr>
              <w:rFonts w:ascii="Verdana" w:hAnsi="Verdana"/>
              <w:i w:val="0"/>
            </w:rPr>
          </w:pPr>
          <w:r w:rsidRPr="000C3F6D">
            <w:rPr>
              <w:rFonts w:ascii="Verdana" w:hAnsi="Verdana"/>
              <w:i w:val="0"/>
            </w:rPr>
            <w:fldChar w:fldCharType="begin"/>
          </w:r>
          <w:r w:rsidRPr="000C3F6D">
            <w:rPr>
              <w:rFonts w:ascii="Verdana" w:hAnsi="Verdana"/>
              <w:i w:val="0"/>
            </w:rPr>
            <w:instrText xml:space="preserve"> STYLEREF "Cover Client Name" </w:instrText>
          </w:r>
          <w:r w:rsidRPr="000C3F6D">
            <w:rPr>
              <w:rFonts w:ascii="Verdana" w:hAnsi="Verdana"/>
              <w:i w:val="0"/>
            </w:rPr>
            <w:fldChar w:fldCharType="end"/>
          </w:r>
          <w:r w:rsidRPr="000C3F6D">
            <w:rPr>
              <w:rFonts w:ascii="Verdana" w:hAnsi="Verdana"/>
              <w:i w:val="0"/>
            </w:rPr>
            <w:t xml:space="preserve"> Tower Hamlets  Homes Limited</w:t>
          </w:r>
        </w:p>
      </w:tc>
    </w:tr>
    <w:tr w:rsidR="00E54A52">
      <w:tc>
        <w:tcPr>
          <w:tcW w:w="4388" w:type="dxa"/>
        </w:tcPr>
        <w:p w:rsidR="00E54A52" w:rsidRDefault="00E54A52">
          <w:pPr>
            <w:pStyle w:val="Header"/>
          </w:pPr>
        </w:p>
      </w:tc>
      <w:tc>
        <w:tcPr>
          <w:tcW w:w="5076" w:type="dxa"/>
        </w:tcPr>
        <w:p w:rsidR="00E54A52" w:rsidRPr="000C3F6D" w:rsidRDefault="00E54A52" w:rsidP="003A4901">
          <w:pPr>
            <w:pStyle w:val="Header"/>
            <w:rPr>
              <w:rFonts w:ascii="Verdana" w:hAnsi="Verdana"/>
              <w:i w:val="0"/>
            </w:rPr>
          </w:pPr>
          <w:r w:rsidRPr="000C3F6D">
            <w:rPr>
              <w:rFonts w:ascii="Verdana" w:hAnsi="Verdana"/>
              <w:i w:val="0"/>
            </w:rPr>
            <w:t>Directors’ Report and Financial Statements</w:t>
          </w:r>
        </w:p>
      </w:tc>
    </w:tr>
    <w:tr w:rsidR="00E54A52">
      <w:tc>
        <w:tcPr>
          <w:tcW w:w="4388" w:type="dxa"/>
        </w:tcPr>
        <w:p w:rsidR="00E54A52" w:rsidRDefault="00E54A52">
          <w:pPr>
            <w:pStyle w:val="Header"/>
          </w:pPr>
        </w:p>
      </w:tc>
      <w:tc>
        <w:tcPr>
          <w:tcW w:w="5076" w:type="dxa"/>
        </w:tcPr>
        <w:p w:rsidR="00E54A52" w:rsidRPr="000C3F6D" w:rsidRDefault="00E54A52" w:rsidP="003A4901">
          <w:pPr>
            <w:pStyle w:val="Header"/>
            <w:rPr>
              <w:rFonts w:ascii="Verdana" w:hAnsi="Verdana"/>
              <w:i w:val="0"/>
            </w:rPr>
          </w:pPr>
          <w:r>
            <w:rPr>
              <w:rFonts w:ascii="Verdana" w:hAnsi="Verdana"/>
              <w:i w:val="0"/>
            </w:rPr>
            <w:t xml:space="preserve"> For the year</w:t>
          </w:r>
          <w:r w:rsidRPr="000C3F6D">
            <w:rPr>
              <w:rFonts w:ascii="Verdana" w:hAnsi="Verdana"/>
              <w:i w:val="0"/>
            </w:rPr>
            <w:t xml:space="preserve"> ended 31</w:t>
          </w:r>
          <w:r w:rsidRPr="000C3F6D">
            <w:rPr>
              <w:rFonts w:ascii="Verdana" w:hAnsi="Verdana"/>
              <w:i w:val="0"/>
              <w:vertAlign w:val="superscript"/>
            </w:rPr>
            <w:t xml:space="preserve"> </w:t>
          </w:r>
          <w:r w:rsidRPr="000C3F6D">
            <w:rPr>
              <w:rFonts w:ascii="Verdana" w:hAnsi="Verdana"/>
              <w:i w:val="0"/>
            </w:rPr>
            <w:t>March 201</w:t>
          </w:r>
          <w:r>
            <w:rPr>
              <w:rFonts w:ascii="Verdana" w:hAnsi="Verdana"/>
              <w:i w:val="0"/>
            </w:rPr>
            <w:t>4</w:t>
          </w:r>
        </w:p>
      </w:tc>
    </w:tr>
  </w:tbl>
  <w:p w:rsidR="00E54A52" w:rsidRDefault="00E54A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3E83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7C03D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E545626"/>
    <w:lvl w:ilvl="0">
      <w:start w:val="1"/>
      <w:numFmt w:val="decimal"/>
      <w:pStyle w:val="ListNumber3"/>
      <w:lvlText w:val="%1."/>
      <w:lvlJc w:val="left"/>
      <w:pPr>
        <w:tabs>
          <w:tab w:val="num" w:pos="926"/>
        </w:tabs>
        <w:ind w:left="926" w:hanging="360"/>
      </w:pPr>
    </w:lvl>
  </w:abstractNum>
  <w:abstractNum w:abstractNumId="3">
    <w:nsid w:val="FFFFFF80"/>
    <w:multiLevelType w:val="singleLevel"/>
    <w:tmpl w:val="1526D212"/>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F2D8F7D6"/>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830AB852"/>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8"/>
    <w:multiLevelType w:val="singleLevel"/>
    <w:tmpl w:val="D0E2F7CC"/>
    <w:lvl w:ilvl="0">
      <w:start w:val="1"/>
      <w:numFmt w:val="decimal"/>
      <w:pStyle w:val="ListNumber"/>
      <w:lvlText w:val="%1."/>
      <w:lvlJc w:val="left"/>
      <w:pPr>
        <w:tabs>
          <w:tab w:val="num" w:pos="360"/>
        </w:tabs>
        <w:ind w:left="360" w:hanging="360"/>
      </w:pPr>
    </w:lvl>
  </w:abstractNum>
  <w:abstractNum w:abstractNumId="7">
    <w:nsid w:val="FFFFFFFB"/>
    <w:multiLevelType w:val="multilevel"/>
    <w:tmpl w:val="8ED4F78C"/>
    <w:lvl w:ilvl="0">
      <w:start w:val="1"/>
      <w:numFmt w:val="decimal"/>
      <w:pStyle w:val="Heading1"/>
      <w:lvlText w:val="%1"/>
      <w:legacy w:legacy="1" w:legacySpace="142" w:legacyIndent="0"/>
      <w:lvlJc w:val="left"/>
      <w:rPr>
        <w:rFonts w:ascii="Times New Roman" w:hAnsi="Times New Roman" w:hint="default"/>
        <w:b/>
        <w:i w:val="0"/>
        <w:color w:val="auto"/>
        <w:sz w:val="20"/>
      </w:rPr>
    </w:lvl>
    <w:lvl w:ilvl="1">
      <w:start w:val="1"/>
      <w:numFmt w:val="upperLetter"/>
      <w:pStyle w:val="Heading2"/>
      <w:lvlText w:val="%2."/>
      <w:legacy w:legacy="1" w:legacySpace="0" w:legacyIndent="708"/>
      <w:lvlJc w:val="left"/>
      <w:pPr>
        <w:ind w:left="708" w:hanging="708"/>
      </w:pPr>
    </w:lvl>
    <w:lvl w:ilvl="2">
      <w:start w:val="1"/>
      <w:numFmt w:val="decimal"/>
      <w:pStyle w:val="Heading3"/>
      <w:lvlText w:val="%3."/>
      <w:legacy w:legacy="1" w:legacySpace="0" w:legacyIndent="708"/>
      <w:lvlJc w:val="left"/>
      <w:pPr>
        <w:ind w:left="1416" w:hanging="708"/>
      </w:pPr>
    </w:lvl>
    <w:lvl w:ilvl="3">
      <w:start w:val="1"/>
      <w:numFmt w:val="lowerLetter"/>
      <w:pStyle w:val="Heading4"/>
      <w:lvlText w:val="%4)"/>
      <w:legacy w:legacy="1" w:legacySpace="0" w:legacyIndent="708"/>
      <w:lvlJc w:val="left"/>
      <w:pPr>
        <w:ind w:left="2124" w:hanging="708"/>
      </w:pPr>
    </w:lvl>
    <w:lvl w:ilvl="4">
      <w:start w:val="1"/>
      <w:numFmt w:val="decimal"/>
      <w:pStyle w:val="Heading5"/>
      <w:lvlText w:val="(%5)"/>
      <w:legacy w:legacy="1" w:legacySpace="0" w:legacyIndent="708"/>
      <w:lvlJc w:val="left"/>
      <w:pPr>
        <w:ind w:left="2832" w:hanging="708"/>
      </w:pPr>
    </w:lvl>
    <w:lvl w:ilvl="5">
      <w:start w:val="1"/>
      <w:numFmt w:val="lowerLetter"/>
      <w:pStyle w:val="Heading6"/>
      <w:lvlText w:val="(%6)"/>
      <w:legacy w:legacy="1" w:legacySpace="0" w:legacyIndent="708"/>
      <w:lvlJc w:val="left"/>
      <w:pPr>
        <w:ind w:left="3540" w:hanging="708"/>
      </w:pPr>
    </w:lvl>
    <w:lvl w:ilvl="6">
      <w:start w:val="1"/>
      <w:numFmt w:val="lowerRoman"/>
      <w:pStyle w:val="Heading7"/>
      <w:lvlText w:val="(%7)"/>
      <w:legacy w:legacy="1" w:legacySpace="0" w:legacyIndent="708"/>
      <w:lvlJc w:val="left"/>
      <w:pPr>
        <w:ind w:left="4248" w:hanging="708"/>
      </w:pPr>
    </w:lvl>
    <w:lvl w:ilvl="7">
      <w:start w:val="1"/>
      <w:numFmt w:val="lowerLetter"/>
      <w:pStyle w:val="Heading8"/>
      <w:lvlText w:val="(%8)"/>
      <w:legacy w:legacy="1" w:legacySpace="0" w:legacyIndent="708"/>
      <w:lvlJc w:val="left"/>
      <w:pPr>
        <w:ind w:left="4956" w:hanging="708"/>
      </w:pPr>
    </w:lvl>
    <w:lvl w:ilvl="8">
      <w:start w:val="1"/>
      <w:numFmt w:val="lowerRoman"/>
      <w:pStyle w:val="Heading9"/>
      <w:lvlText w:val="(%9)"/>
      <w:legacy w:legacy="1" w:legacySpace="0" w:legacyIndent="708"/>
      <w:lvlJc w:val="left"/>
      <w:pPr>
        <w:ind w:left="5664" w:hanging="708"/>
      </w:pPr>
    </w:lvl>
  </w:abstractNum>
  <w:abstractNum w:abstractNumId="8">
    <w:nsid w:val="118253AA"/>
    <w:multiLevelType w:val="hybridMultilevel"/>
    <w:tmpl w:val="BBAE9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647540D"/>
    <w:multiLevelType w:val="hybridMultilevel"/>
    <w:tmpl w:val="9C9A6366"/>
    <w:lvl w:ilvl="0" w:tplc="C752238A">
      <w:start w:val="1"/>
      <w:numFmt w:val="bullet"/>
      <w:pStyle w:val="1point"/>
      <w:lvlText w:val=""/>
      <w:lvlJc w:val="left"/>
      <w:pPr>
        <w:tabs>
          <w:tab w:val="num" w:pos="360"/>
        </w:tabs>
        <w:ind w:left="0" w:firstLine="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636288B"/>
    <w:multiLevelType w:val="hybridMultilevel"/>
    <w:tmpl w:val="3F9A7732"/>
    <w:lvl w:ilvl="0" w:tplc="68305E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0B540D3"/>
    <w:multiLevelType w:val="hybridMultilevel"/>
    <w:tmpl w:val="933267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422F3663"/>
    <w:multiLevelType w:val="hybridMultilevel"/>
    <w:tmpl w:val="8988A9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57E2FC8"/>
    <w:multiLevelType w:val="hybridMultilevel"/>
    <w:tmpl w:val="A90CCEF6"/>
    <w:lvl w:ilvl="0" w:tplc="D892007E">
      <w:start w:val="1"/>
      <w:numFmt w:val="bullet"/>
      <w:pStyle w:val="Bullet"/>
      <w:lvlText w:val=""/>
      <w:lvlJc w:val="left"/>
      <w:pPr>
        <w:tabs>
          <w:tab w:val="num" w:pos="720"/>
        </w:tabs>
        <w:ind w:left="720" w:hanging="360"/>
      </w:pPr>
      <w:rPr>
        <w:rFonts w:ascii="Symbol" w:hAnsi="Symbol" w:hint="default"/>
      </w:rPr>
    </w:lvl>
    <w:lvl w:ilvl="1" w:tplc="2474C82C" w:tentative="1">
      <w:start w:val="1"/>
      <w:numFmt w:val="bullet"/>
      <w:lvlText w:val="o"/>
      <w:lvlJc w:val="left"/>
      <w:pPr>
        <w:tabs>
          <w:tab w:val="num" w:pos="1440"/>
        </w:tabs>
        <w:ind w:left="1440" w:hanging="360"/>
      </w:pPr>
      <w:rPr>
        <w:rFonts w:ascii="Courier New" w:hAnsi="Courier New" w:hint="default"/>
      </w:rPr>
    </w:lvl>
    <w:lvl w:ilvl="2" w:tplc="CCEE4226" w:tentative="1">
      <w:start w:val="1"/>
      <w:numFmt w:val="bullet"/>
      <w:lvlText w:val=""/>
      <w:lvlJc w:val="left"/>
      <w:pPr>
        <w:tabs>
          <w:tab w:val="num" w:pos="2160"/>
        </w:tabs>
        <w:ind w:left="2160" w:hanging="360"/>
      </w:pPr>
      <w:rPr>
        <w:rFonts w:ascii="Wingdings" w:hAnsi="Wingdings" w:hint="default"/>
      </w:rPr>
    </w:lvl>
    <w:lvl w:ilvl="3" w:tplc="28164AD4" w:tentative="1">
      <w:start w:val="1"/>
      <w:numFmt w:val="bullet"/>
      <w:lvlText w:val=""/>
      <w:lvlJc w:val="left"/>
      <w:pPr>
        <w:tabs>
          <w:tab w:val="num" w:pos="2880"/>
        </w:tabs>
        <w:ind w:left="2880" w:hanging="360"/>
      </w:pPr>
      <w:rPr>
        <w:rFonts w:ascii="Symbol" w:hAnsi="Symbol" w:hint="default"/>
      </w:rPr>
    </w:lvl>
    <w:lvl w:ilvl="4" w:tplc="FD0082B4" w:tentative="1">
      <w:start w:val="1"/>
      <w:numFmt w:val="bullet"/>
      <w:lvlText w:val="o"/>
      <w:lvlJc w:val="left"/>
      <w:pPr>
        <w:tabs>
          <w:tab w:val="num" w:pos="3600"/>
        </w:tabs>
        <w:ind w:left="3600" w:hanging="360"/>
      </w:pPr>
      <w:rPr>
        <w:rFonts w:ascii="Courier New" w:hAnsi="Courier New" w:hint="default"/>
      </w:rPr>
    </w:lvl>
    <w:lvl w:ilvl="5" w:tplc="C6567F08" w:tentative="1">
      <w:start w:val="1"/>
      <w:numFmt w:val="bullet"/>
      <w:lvlText w:val=""/>
      <w:lvlJc w:val="left"/>
      <w:pPr>
        <w:tabs>
          <w:tab w:val="num" w:pos="4320"/>
        </w:tabs>
        <w:ind w:left="4320" w:hanging="360"/>
      </w:pPr>
      <w:rPr>
        <w:rFonts w:ascii="Wingdings" w:hAnsi="Wingdings" w:hint="default"/>
      </w:rPr>
    </w:lvl>
    <w:lvl w:ilvl="6" w:tplc="FAA08890" w:tentative="1">
      <w:start w:val="1"/>
      <w:numFmt w:val="bullet"/>
      <w:lvlText w:val=""/>
      <w:lvlJc w:val="left"/>
      <w:pPr>
        <w:tabs>
          <w:tab w:val="num" w:pos="5040"/>
        </w:tabs>
        <w:ind w:left="5040" w:hanging="360"/>
      </w:pPr>
      <w:rPr>
        <w:rFonts w:ascii="Symbol" w:hAnsi="Symbol" w:hint="default"/>
      </w:rPr>
    </w:lvl>
    <w:lvl w:ilvl="7" w:tplc="90404E4C" w:tentative="1">
      <w:start w:val="1"/>
      <w:numFmt w:val="bullet"/>
      <w:lvlText w:val="o"/>
      <w:lvlJc w:val="left"/>
      <w:pPr>
        <w:tabs>
          <w:tab w:val="num" w:pos="5760"/>
        </w:tabs>
        <w:ind w:left="5760" w:hanging="360"/>
      </w:pPr>
      <w:rPr>
        <w:rFonts w:ascii="Courier New" w:hAnsi="Courier New" w:hint="default"/>
      </w:rPr>
    </w:lvl>
    <w:lvl w:ilvl="8" w:tplc="42B8EA0E" w:tentative="1">
      <w:start w:val="1"/>
      <w:numFmt w:val="bullet"/>
      <w:lvlText w:val=""/>
      <w:lvlJc w:val="left"/>
      <w:pPr>
        <w:tabs>
          <w:tab w:val="num" w:pos="6480"/>
        </w:tabs>
        <w:ind w:left="6480" w:hanging="360"/>
      </w:pPr>
      <w:rPr>
        <w:rFonts w:ascii="Wingdings" w:hAnsi="Wingdings" w:hint="default"/>
      </w:rPr>
    </w:lvl>
  </w:abstractNum>
  <w:abstractNum w:abstractNumId="14">
    <w:nsid w:val="533D24A9"/>
    <w:multiLevelType w:val="hybridMultilevel"/>
    <w:tmpl w:val="23223ACC"/>
    <w:lvl w:ilvl="0" w:tplc="67E2C582">
      <w:numFmt w:val="bullet"/>
      <w:lvlText w:val=""/>
      <w:lvlJc w:val="left"/>
      <w:pPr>
        <w:tabs>
          <w:tab w:val="num" w:pos="1800"/>
        </w:tabs>
        <w:ind w:left="1134" w:hanging="567"/>
      </w:pPr>
      <w:rPr>
        <w:rFonts w:ascii="Symbol" w:eastAsia="Times New Roman" w:hAnsi="Symbol" w:cs="Aria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15">
    <w:nsid w:val="5A7B69BB"/>
    <w:multiLevelType w:val="hybridMultilevel"/>
    <w:tmpl w:val="E18E9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72D6F49"/>
    <w:multiLevelType w:val="multilevel"/>
    <w:tmpl w:val="41B6471E"/>
    <w:lvl w:ilvl="0">
      <w:start w:val="1"/>
      <w:numFmt w:val="bullet"/>
      <w:lvlText w:val="■"/>
      <w:lvlJc w:val="left"/>
      <w:pPr>
        <w:ind w:left="284" w:hanging="284"/>
      </w:pPr>
      <w:rPr>
        <w:rFonts w:ascii="Arial" w:hAnsi="Arial" w:cs="Times New Roman" w:hint="default"/>
        <w:color w:val="97989A"/>
        <w:sz w:val="24"/>
      </w:rPr>
    </w:lvl>
    <w:lvl w:ilvl="1">
      <w:start w:val="1"/>
      <w:numFmt w:val="bullet"/>
      <w:lvlText w:val="–"/>
      <w:lvlJc w:val="left"/>
      <w:pPr>
        <w:ind w:left="567" w:hanging="283"/>
      </w:pPr>
      <w:rPr>
        <w:rFonts w:ascii="Arial" w:hAnsi="Arial" w:cs="Times New Roman" w:hint="default"/>
        <w:color w:val="97989A"/>
      </w:rPr>
    </w:lvl>
    <w:lvl w:ilvl="2">
      <w:start w:val="1"/>
      <w:numFmt w:val="bullet"/>
      <w:lvlRestart w:val="1"/>
      <w:lvlText w:val="■"/>
      <w:lvlJc w:val="left"/>
      <w:pPr>
        <w:tabs>
          <w:tab w:val="num" w:pos="851"/>
        </w:tabs>
        <w:ind w:left="851" w:hanging="284"/>
      </w:pPr>
      <w:rPr>
        <w:rFonts w:ascii="Arial" w:hAnsi="Arial" w:cs="Times New Roman" w:hint="default"/>
        <w:color w:val="97989A"/>
      </w:rPr>
    </w:lvl>
    <w:lvl w:ilvl="3">
      <w:start w:val="1"/>
      <w:numFmt w:val="bullet"/>
      <w:lvlText w:val="–"/>
      <w:lvlJc w:val="left"/>
      <w:pPr>
        <w:ind w:left="1134" w:hanging="283"/>
      </w:pPr>
      <w:rPr>
        <w:rFonts w:ascii="Arial" w:hAnsi="Arial" w:cs="Times New Roman" w:hint="default"/>
        <w:color w:val="97989A"/>
      </w:rPr>
    </w:lvl>
    <w:lvl w:ilvl="4">
      <w:start w:val="1"/>
      <w:numFmt w:val="bullet"/>
      <w:lvlText w:val="■"/>
      <w:lvlJc w:val="left"/>
      <w:pPr>
        <w:ind w:left="1701" w:hanging="281"/>
      </w:pPr>
      <w:rPr>
        <w:rFonts w:ascii="Arial" w:hAnsi="Arial" w:cs="Times New Roman" w:hint="default"/>
        <w:color w:val="97989A"/>
      </w:rPr>
    </w:lvl>
    <w:lvl w:ilvl="5">
      <w:start w:val="1"/>
      <w:numFmt w:val="bullet"/>
      <w:lvlText w:val="–"/>
      <w:lvlJc w:val="left"/>
      <w:pPr>
        <w:ind w:left="1985" w:hanging="284"/>
      </w:pPr>
      <w:rPr>
        <w:rFonts w:ascii="Arial" w:hAnsi="Arial" w:cs="Times New Roman" w:hint="default"/>
        <w:color w:val="97989A"/>
      </w:rPr>
    </w:lvl>
    <w:lvl w:ilvl="6">
      <w:start w:val="1"/>
      <w:numFmt w:val="bullet"/>
      <w:lvlText w:val="■"/>
      <w:lvlJc w:val="left"/>
      <w:pPr>
        <w:ind w:left="2268" w:hanging="283"/>
      </w:pPr>
      <w:rPr>
        <w:rFonts w:ascii="Arial" w:hAnsi="Arial" w:cs="Times New Roman" w:hint="default"/>
        <w:color w:val="97989A"/>
      </w:rPr>
    </w:lvl>
    <w:lvl w:ilvl="7">
      <w:start w:val="1"/>
      <w:numFmt w:val="bullet"/>
      <w:lvlText w:val="–"/>
      <w:lvlJc w:val="left"/>
      <w:pPr>
        <w:ind w:left="2552" w:hanging="284"/>
      </w:pPr>
      <w:rPr>
        <w:rFonts w:ascii="Arial" w:hAnsi="Arial" w:cs="Times New Roman" w:hint="default"/>
        <w:color w:val="97989A"/>
      </w:rPr>
    </w:lvl>
    <w:lvl w:ilvl="8">
      <w:start w:val="1"/>
      <w:numFmt w:val="bullet"/>
      <w:lvlText w:val="■"/>
      <w:lvlJc w:val="left"/>
      <w:pPr>
        <w:ind w:left="2835" w:hanging="283"/>
      </w:pPr>
      <w:rPr>
        <w:rFonts w:ascii="Arial" w:hAnsi="Arial" w:cs="Times New Roman" w:hint="default"/>
        <w:color w:val="97989A"/>
      </w:rPr>
    </w:lvl>
  </w:abstractNum>
  <w:abstractNum w:abstractNumId="17">
    <w:nsid w:val="69B50755"/>
    <w:multiLevelType w:val="hybridMultilevel"/>
    <w:tmpl w:val="D67CEA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7AA079F"/>
    <w:multiLevelType w:val="hybridMultilevel"/>
    <w:tmpl w:val="40B021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B2E5E73"/>
    <w:multiLevelType w:val="hybridMultilevel"/>
    <w:tmpl w:val="4AA408E8"/>
    <w:lvl w:ilvl="0" w:tplc="08090001">
      <w:start w:val="1"/>
      <w:numFmt w:val="bullet"/>
      <w:pStyle w:val="ACBullet"/>
      <w:lvlText w:val="■"/>
      <w:lvlJc w:val="left"/>
      <w:pPr>
        <w:tabs>
          <w:tab w:val="num" w:pos="360"/>
        </w:tabs>
        <w:ind w:left="-284" w:firstLine="284"/>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9"/>
  </w:num>
  <w:num w:numId="3">
    <w:abstractNumId w:val="13"/>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8"/>
  </w:num>
  <w:num w:numId="12">
    <w:abstractNumId w:val="18"/>
  </w:num>
  <w:num w:numId="13">
    <w:abstractNumId w:val="12"/>
  </w:num>
  <w:num w:numId="14">
    <w:abstractNumId w:val="10"/>
  </w:num>
  <w:num w:numId="15">
    <w:abstractNumId w:val="17"/>
  </w:num>
  <w:num w:numId="16">
    <w:abstractNumId w:val="11"/>
  </w:num>
  <w:num w:numId="17">
    <w:abstractNumId w:val="15"/>
  </w:num>
  <w:num w:numId="18">
    <w:abstractNumId w:val="14"/>
  </w:num>
  <w:num w:numId="19">
    <w:abstractNumId w:val="9"/>
  </w:num>
  <w:num w:numId="2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0"/>
  <w:drawingGridVerticalSpacing w:val="120"/>
  <w:displayHorizontalDrawingGridEvery w:val="2"/>
  <w:displayVerticalDrawingGridEvery w:val="0"/>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countType" w:val="Company"/>
    <w:docVar w:name="Author" w:val="Will Carr"/>
    <w:docVar w:name="Branding" w:val="Default"/>
    <w:docVar w:name="Buildername" w:val="Accounts"/>
    <w:docVar w:name="BuilderPath" w:val="c:\Program Files\kis\Addins"/>
    <w:docVar w:name="BuilderVersion" w:val="1.3.3"/>
    <w:docVar w:name="Building" w:val="Birmingham"/>
    <w:docVar w:name="Client" w:val="ABC Limited"/>
    <w:docVar w:name="DocType" w:val="KPMG Accounts : KPMG LLP"/>
    <w:docVar w:name="Entity" w:val="KPMG LLP"/>
    <w:docVar w:name="FinYearEnd" w:val="31 Mar 2003"/>
    <w:docVar w:name="KISTemplateApplied" w:val="False"/>
    <w:docVar w:name="Optimised" w:val="No"/>
    <w:docVar w:name="RegisteredNumber" w:val="1234567"/>
    <w:docVar w:name="TemplateUsed" w:val="c:\program files\kis\templates\Accounts\Accounts.dot"/>
    <w:docVar w:name="TypeOfAuditor" w:val="KPMG LLP"/>
    <w:docVar w:name="Typist" w:val="N Moltu"/>
    <w:docVar w:name="Version Used" w:val="9.0"/>
  </w:docVars>
  <w:rsids>
    <w:rsidRoot w:val="00582CA1"/>
    <w:rsid w:val="00001EFE"/>
    <w:rsid w:val="00004C22"/>
    <w:rsid w:val="0000512A"/>
    <w:rsid w:val="00006DD9"/>
    <w:rsid w:val="00007979"/>
    <w:rsid w:val="00010C38"/>
    <w:rsid w:val="000110AA"/>
    <w:rsid w:val="00013875"/>
    <w:rsid w:val="00013FD6"/>
    <w:rsid w:val="00015BF9"/>
    <w:rsid w:val="000161A4"/>
    <w:rsid w:val="00016A58"/>
    <w:rsid w:val="00017061"/>
    <w:rsid w:val="00017ED5"/>
    <w:rsid w:val="00020073"/>
    <w:rsid w:val="00020827"/>
    <w:rsid w:val="00020B98"/>
    <w:rsid w:val="000211C6"/>
    <w:rsid w:val="0002345B"/>
    <w:rsid w:val="000238EF"/>
    <w:rsid w:val="00026CE9"/>
    <w:rsid w:val="00027CC8"/>
    <w:rsid w:val="000300E1"/>
    <w:rsid w:val="00030D3F"/>
    <w:rsid w:val="000315BB"/>
    <w:rsid w:val="00031A57"/>
    <w:rsid w:val="00031E31"/>
    <w:rsid w:val="00031ED1"/>
    <w:rsid w:val="00032043"/>
    <w:rsid w:val="0003369F"/>
    <w:rsid w:val="000337F1"/>
    <w:rsid w:val="00033BDD"/>
    <w:rsid w:val="00033F22"/>
    <w:rsid w:val="00034DFF"/>
    <w:rsid w:val="00035EAA"/>
    <w:rsid w:val="000363A6"/>
    <w:rsid w:val="000363A9"/>
    <w:rsid w:val="0003657A"/>
    <w:rsid w:val="0003689F"/>
    <w:rsid w:val="00036EE5"/>
    <w:rsid w:val="00037C14"/>
    <w:rsid w:val="0004157C"/>
    <w:rsid w:val="0004201B"/>
    <w:rsid w:val="000434EC"/>
    <w:rsid w:val="00043CDF"/>
    <w:rsid w:val="000454CB"/>
    <w:rsid w:val="00046B04"/>
    <w:rsid w:val="00047377"/>
    <w:rsid w:val="00047A08"/>
    <w:rsid w:val="00047A36"/>
    <w:rsid w:val="000514E5"/>
    <w:rsid w:val="00051EF3"/>
    <w:rsid w:val="000530F5"/>
    <w:rsid w:val="00053AA1"/>
    <w:rsid w:val="0005446F"/>
    <w:rsid w:val="000544C6"/>
    <w:rsid w:val="0005583D"/>
    <w:rsid w:val="00055CA8"/>
    <w:rsid w:val="000569A2"/>
    <w:rsid w:val="00056A7D"/>
    <w:rsid w:val="000606D7"/>
    <w:rsid w:val="00060785"/>
    <w:rsid w:val="00061163"/>
    <w:rsid w:val="00061AB8"/>
    <w:rsid w:val="00062CF1"/>
    <w:rsid w:val="0006304C"/>
    <w:rsid w:val="00063880"/>
    <w:rsid w:val="00063AFE"/>
    <w:rsid w:val="00063B25"/>
    <w:rsid w:val="00063FA5"/>
    <w:rsid w:val="00064558"/>
    <w:rsid w:val="00064CEA"/>
    <w:rsid w:val="00065F57"/>
    <w:rsid w:val="00067B50"/>
    <w:rsid w:val="000701F5"/>
    <w:rsid w:val="00070876"/>
    <w:rsid w:val="00070E85"/>
    <w:rsid w:val="00074711"/>
    <w:rsid w:val="00075F02"/>
    <w:rsid w:val="00080464"/>
    <w:rsid w:val="00080DB5"/>
    <w:rsid w:val="00082DAE"/>
    <w:rsid w:val="00083476"/>
    <w:rsid w:val="00084A5A"/>
    <w:rsid w:val="00086F10"/>
    <w:rsid w:val="0008700A"/>
    <w:rsid w:val="000872B5"/>
    <w:rsid w:val="00087A25"/>
    <w:rsid w:val="000947E2"/>
    <w:rsid w:val="000948B2"/>
    <w:rsid w:val="000951B9"/>
    <w:rsid w:val="00095432"/>
    <w:rsid w:val="00095FD3"/>
    <w:rsid w:val="000974C3"/>
    <w:rsid w:val="000A10DE"/>
    <w:rsid w:val="000A15F9"/>
    <w:rsid w:val="000A2A5E"/>
    <w:rsid w:val="000A2ADD"/>
    <w:rsid w:val="000A3967"/>
    <w:rsid w:val="000A6D8B"/>
    <w:rsid w:val="000A7081"/>
    <w:rsid w:val="000B004A"/>
    <w:rsid w:val="000B05F4"/>
    <w:rsid w:val="000B0706"/>
    <w:rsid w:val="000B10C5"/>
    <w:rsid w:val="000B1BFF"/>
    <w:rsid w:val="000B4D27"/>
    <w:rsid w:val="000B54F4"/>
    <w:rsid w:val="000B5A3E"/>
    <w:rsid w:val="000B6D9C"/>
    <w:rsid w:val="000C10A9"/>
    <w:rsid w:val="000C374C"/>
    <w:rsid w:val="000C3F6D"/>
    <w:rsid w:val="000C47FF"/>
    <w:rsid w:val="000C6687"/>
    <w:rsid w:val="000C7BC0"/>
    <w:rsid w:val="000C7DB5"/>
    <w:rsid w:val="000C7EA4"/>
    <w:rsid w:val="000D0720"/>
    <w:rsid w:val="000D074D"/>
    <w:rsid w:val="000D0A8C"/>
    <w:rsid w:val="000D0DAA"/>
    <w:rsid w:val="000D1A53"/>
    <w:rsid w:val="000D2D75"/>
    <w:rsid w:val="000D2EA9"/>
    <w:rsid w:val="000D3EAE"/>
    <w:rsid w:val="000D46F5"/>
    <w:rsid w:val="000D4FDE"/>
    <w:rsid w:val="000D5136"/>
    <w:rsid w:val="000D565F"/>
    <w:rsid w:val="000D5FD9"/>
    <w:rsid w:val="000D66F0"/>
    <w:rsid w:val="000D6CAA"/>
    <w:rsid w:val="000D7B78"/>
    <w:rsid w:val="000D7D17"/>
    <w:rsid w:val="000E053C"/>
    <w:rsid w:val="000E065E"/>
    <w:rsid w:val="000E144D"/>
    <w:rsid w:val="000E1C5F"/>
    <w:rsid w:val="000E243A"/>
    <w:rsid w:val="000E2E71"/>
    <w:rsid w:val="000E31B4"/>
    <w:rsid w:val="000E40EC"/>
    <w:rsid w:val="000E5148"/>
    <w:rsid w:val="000E5E55"/>
    <w:rsid w:val="000F002C"/>
    <w:rsid w:val="000F24B2"/>
    <w:rsid w:val="000F2724"/>
    <w:rsid w:val="000F29BB"/>
    <w:rsid w:val="000F557D"/>
    <w:rsid w:val="000F6E83"/>
    <w:rsid w:val="001025C1"/>
    <w:rsid w:val="00102808"/>
    <w:rsid w:val="00103DC9"/>
    <w:rsid w:val="00104FB2"/>
    <w:rsid w:val="001066A5"/>
    <w:rsid w:val="0010755B"/>
    <w:rsid w:val="001078FC"/>
    <w:rsid w:val="00110194"/>
    <w:rsid w:val="00110EA8"/>
    <w:rsid w:val="00112186"/>
    <w:rsid w:val="0011350D"/>
    <w:rsid w:val="00115396"/>
    <w:rsid w:val="0011584F"/>
    <w:rsid w:val="001175F4"/>
    <w:rsid w:val="00117D26"/>
    <w:rsid w:val="00121049"/>
    <w:rsid w:val="00121B7C"/>
    <w:rsid w:val="0012306D"/>
    <w:rsid w:val="001246E6"/>
    <w:rsid w:val="00126908"/>
    <w:rsid w:val="0012692B"/>
    <w:rsid w:val="0012746F"/>
    <w:rsid w:val="001314A7"/>
    <w:rsid w:val="001315EE"/>
    <w:rsid w:val="0013199B"/>
    <w:rsid w:val="00131D82"/>
    <w:rsid w:val="00131EC0"/>
    <w:rsid w:val="00133EF2"/>
    <w:rsid w:val="001372EF"/>
    <w:rsid w:val="001373D2"/>
    <w:rsid w:val="00137941"/>
    <w:rsid w:val="00140DC1"/>
    <w:rsid w:val="00141F05"/>
    <w:rsid w:val="001427D8"/>
    <w:rsid w:val="00142ACA"/>
    <w:rsid w:val="00143487"/>
    <w:rsid w:val="001438DE"/>
    <w:rsid w:val="00143F0C"/>
    <w:rsid w:val="00145916"/>
    <w:rsid w:val="001468FB"/>
    <w:rsid w:val="00146962"/>
    <w:rsid w:val="001469C9"/>
    <w:rsid w:val="00146ED3"/>
    <w:rsid w:val="00150CEF"/>
    <w:rsid w:val="001528E6"/>
    <w:rsid w:val="00153281"/>
    <w:rsid w:val="00154989"/>
    <w:rsid w:val="001549DD"/>
    <w:rsid w:val="001550FC"/>
    <w:rsid w:val="00155BEF"/>
    <w:rsid w:val="00162971"/>
    <w:rsid w:val="00162D62"/>
    <w:rsid w:val="001648E4"/>
    <w:rsid w:val="00164D51"/>
    <w:rsid w:val="00164FC3"/>
    <w:rsid w:val="00165132"/>
    <w:rsid w:val="00165F5F"/>
    <w:rsid w:val="00170D4A"/>
    <w:rsid w:val="00171381"/>
    <w:rsid w:val="00172C0A"/>
    <w:rsid w:val="00172FA3"/>
    <w:rsid w:val="001737F0"/>
    <w:rsid w:val="00173A75"/>
    <w:rsid w:val="00176A64"/>
    <w:rsid w:val="0017786C"/>
    <w:rsid w:val="00177AFF"/>
    <w:rsid w:val="001815D2"/>
    <w:rsid w:val="001824FC"/>
    <w:rsid w:val="0018277D"/>
    <w:rsid w:val="00184B53"/>
    <w:rsid w:val="001869FB"/>
    <w:rsid w:val="00187B3D"/>
    <w:rsid w:val="00187BE4"/>
    <w:rsid w:val="00187ECC"/>
    <w:rsid w:val="00190319"/>
    <w:rsid w:val="001911DC"/>
    <w:rsid w:val="00191594"/>
    <w:rsid w:val="00193997"/>
    <w:rsid w:val="00194EC2"/>
    <w:rsid w:val="0019696C"/>
    <w:rsid w:val="00197A20"/>
    <w:rsid w:val="001A0C56"/>
    <w:rsid w:val="001A0FC3"/>
    <w:rsid w:val="001A543D"/>
    <w:rsid w:val="001A548E"/>
    <w:rsid w:val="001A6052"/>
    <w:rsid w:val="001A6245"/>
    <w:rsid w:val="001B0AA4"/>
    <w:rsid w:val="001B17AB"/>
    <w:rsid w:val="001B1C38"/>
    <w:rsid w:val="001B2D70"/>
    <w:rsid w:val="001B2EC8"/>
    <w:rsid w:val="001B35E0"/>
    <w:rsid w:val="001B425B"/>
    <w:rsid w:val="001B4C10"/>
    <w:rsid w:val="001B5C61"/>
    <w:rsid w:val="001B5DC3"/>
    <w:rsid w:val="001B66A2"/>
    <w:rsid w:val="001B70C9"/>
    <w:rsid w:val="001C0DA9"/>
    <w:rsid w:val="001C0F25"/>
    <w:rsid w:val="001C180E"/>
    <w:rsid w:val="001C1BC7"/>
    <w:rsid w:val="001C2362"/>
    <w:rsid w:val="001C419F"/>
    <w:rsid w:val="001C57FE"/>
    <w:rsid w:val="001C78D4"/>
    <w:rsid w:val="001D06C3"/>
    <w:rsid w:val="001D0C4E"/>
    <w:rsid w:val="001D0DF0"/>
    <w:rsid w:val="001D10FB"/>
    <w:rsid w:val="001D344F"/>
    <w:rsid w:val="001D364C"/>
    <w:rsid w:val="001D4DD2"/>
    <w:rsid w:val="001D5D53"/>
    <w:rsid w:val="001D6741"/>
    <w:rsid w:val="001D6FF8"/>
    <w:rsid w:val="001D7FF8"/>
    <w:rsid w:val="001E013F"/>
    <w:rsid w:val="001E0F3E"/>
    <w:rsid w:val="001E3429"/>
    <w:rsid w:val="001E3AD5"/>
    <w:rsid w:val="001E4181"/>
    <w:rsid w:val="001E43BF"/>
    <w:rsid w:val="001E5930"/>
    <w:rsid w:val="001E5957"/>
    <w:rsid w:val="001E59C9"/>
    <w:rsid w:val="001E64AA"/>
    <w:rsid w:val="001F010F"/>
    <w:rsid w:val="001F021E"/>
    <w:rsid w:val="001F2494"/>
    <w:rsid w:val="001F280D"/>
    <w:rsid w:val="001F406B"/>
    <w:rsid w:val="001F5E9D"/>
    <w:rsid w:val="001F6EB4"/>
    <w:rsid w:val="00200FF6"/>
    <w:rsid w:val="00201D0C"/>
    <w:rsid w:val="0020252E"/>
    <w:rsid w:val="002035F0"/>
    <w:rsid w:val="00203FC3"/>
    <w:rsid w:val="00204DFB"/>
    <w:rsid w:val="00205225"/>
    <w:rsid w:val="00210D42"/>
    <w:rsid w:val="00210EB7"/>
    <w:rsid w:val="00212762"/>
    <w:rsid w:val="00213262"/>
    <w:rsid w:val="00213CC5"/>
    <w:rsid w:val="0021422F"/>
    <w:rsid w:val="00216BC2"/>
    <w:rsid w:val="0022130F"/>
    <w:rsid w:val="00222037"/>
    <w:rsid w:val="00224E5D"/>
    <w:rsid w:val="00225367"/>
    <w:rsid w:val="002271D8"/>
    <w:rsid w:val="002302B9"/>
    <w:rsid w:val="00232C8A"/>
    <w:rsid w:val="00233EDB"/>
    <w:rsid w:val="002354E5"/>
    <w:rsid w:val="00236332"/>
    <w:rsid w:val="002369CD"/>
    <w:rsid w:val="00237658"/>
    <w:rsid w:val="00240D65"/>
    <w:rsid w:val="002414AF"/>
    <w:rsid w:val="0024273A"/>
    <w:rsid w:val="00242963"/>
    <w:rsid w:val="002429C6"/>
    <w:rsid w:val="00243170"/>
    <w:rsid w:val="00245C4C"/>
    <w:rsid w:val="00246E19"/>
    <w:rsid w:val="0025281F"/>
    <w:rsid w:val="002529D9"/>
    <w:rsid w:val="0025747A"/>
    <w:rsid w:val="0026154E"/>
    <w:rsid w:val="00262DB3"/>
    <w:rsid w:val="00262DD8"/>
    <w:rsid w:val="00263A7F"/>
    <w:rsid w:val="00264329"/>
    <w:rsid w:val="00264D75"/>
    <w:rsid w:val="0026584E"/>
    <w:rsid w:val="002670F5"/>
    <w:rsid w:val="002671BE"/>
    <w:rsid w:val="00271B12"/>
    <w:rsid w:val="00274A10"/>
    <w:rsid w:val="0027626C"/>
    <w:rsid w:val="002763B9"/>
    <w:rsid w:val="0027761A"/>
    <w:rsid w:val="002804BE"/>
    <w:rsid w:val="00280952"/>
    <w:rsid w:val="00282F6F"/>
    <w:rsid w:val="002831F1"/>
    <w:rsid w:val="002833F8"/>
    <w:rsid w:val="00283439"/>
    <w:rsid w:val="00283830"/>
    <w:rsid w:val="00283CF3"/>
    <w:rsid w:val="00284A2B"/>
    <w:rsid w:val="00284A56"/>
    <w:rsid w:val="002850CF"/>
    <w:rsid w:val="002858D5"/>
    <w:rsid w:val="00285D4A"/>
    <w:rsid w:val="00286183"/>
    <w:rsid w:val="00287FB2"/>
    <w:rsid w:val="0029005C"/>
    <w:rsid w:val="00291489"/>
    <w:rsid w:val="002920C7"/>
    <w:rsid w:val="002922AC"/>
    <w:rsid w:val="00292C1A"/>
    <w:rsid w:val="00293686"/>
    <w:rsid w:val="002950DC"/>
    <w:rsid w:val="00295B5B"/>
    <w:rsid w:val="002963F4"/>
    <w:rsid w:val="00296529"/>
    <w:rsid w:val="002A1F1E"/>
    <w:rsid w:val="002A22DF"/>
    <w:rsid w:val="002A2771"/>
    <w:rsid w:val="002A28DE"/>
    <w:rsid w:val="002A2C72"/>
    <w:rsid w:val="002A37A9"/>
    <w:rsid w:val="002A44C3"/>
    <w:rsid w:val="002A4D06"/>
    <w:rsid w:val="002A66CA"/>
    <w:rsid w:val="002B06E8"/>
    <w:rsid w:val="002B4BFA"/>
    <w:rsid w:val="002B4DB8"/>
    <w:rsid w:val="002B50C9"/>
    <w:rsid w:val="002C07ED"/>
    <w:rsid w:val="002C1A7F"/>
    <w:rsid w:val="002C20ED"/>
    <w:rsid w:val="002C2154"/>
    <w:rsid w:val="002C4356"/>
    <w:rsid w:val="002C4359"/>
    <w:rsid w:val="002C53AE"/>
    <w:rsid w:val="002C544A"/>
    <w:rsid w:val="002C56D4"/>
    <w:rsid w:val="002C5798"/>
    <w:rsid w:val="002C6F56"/>
    <w:rsid w:val="002C7108"/>
    <w:rsid w:val="002C7564"/>
    <w:rsid w:val="002C7882"/>
    <w:rsid w:val="002C7C65"/>
    <w:rsid w:val="002D041C"/>
    <w:rsid w:val="002D0DF3"/>
    <w:rsid w:val="002D26A3"/>
    <w:rsid w:val="002D4086"/>
    <w:rsid w:val="002D4838"/>
    <w:rsid w:val="002D6560"/>
    <w:rsid w:val="002D6937"/>
    <w:rsid w:val="002D6DBD"/>
    <w:rsid w:val="002D78F3"/>
    <w:rsid w:val="002E1220"/>
    <w:rsid w:val="002E189E"/>
    <w:rsid w:val="002E1A5B"/>
    <w:rsid w:val="002E266E"/>
    <w:rsid w:val="002E3E9A"/>
    <w:rsid w:val="002E3F5A"/>
    <w:rsid w:val="002E49D0"/>
    <w:rsid w:val="002E64E9"/>
    <w:rsid w:val="002F01E1"/>
    <w:rsid w:val="002F0895"/>
    <w:rsid w:val="002F1A52"/>
    <w:rsid w:val="002F1BF0"/>
    <w:rsid w:val="002F2D44"/>
    <w:rsid w:val="002F3802"/>
    <w:rsid w:val="002F473D"/>
    <w:rsid w:val="002F4D06"/>
    <w:rsid w:val="002F5089"/>
    <w:rsid w:val="002F52E9"/>
    <w:rsid w:val="002F54A0"/>
    <w:rsid w:val="002F633F"/>
    <w:rsid w:val="002F6377"/>
    <w:rsid w:val="002F7401"/>
    <w:rsid w:val="002F77AC"/>
    <w:rsid w:val="003006EC"/>
    <w:rsid w:val="0030203A"/>
    <w:rsid w:val="0030249D"/>
    <w:rsid w:val="00302AAA"/>
    <w:rsid w:val="00302C2E"/>
    <w:rsid w:val="0030316B"/>
    <w:rsid w:val="00303229"/>
    <w:rsid w:val="00303805"/>
    <w:rsid w:val="00303B9D"/>
    <w:rsid w:val="00304543"/>
    <w:rsid w:val="003049C1"/>
    <w:rsid w:val="00305D36"/>
    <w:rsid w:val="00310892"/>
    <w:rsid w:val="00311ED3"/>
    <w:rsid w:val="00312324"/>
    <w:rsid w:val="00312BA6"/>
    <w:rsid w:val="00312C0D"/>
    <w:rsid w:val="00314339"/>
    <w:rsid w:val="003156FD"/>
    <w:rsid w:val="00315806"/>
    <w:rsid w:val="003158C5"/>
    <w:rsid w:val="00315E3C"/>
    <w:rsid w:val="00315F91"/>
    <w:rsid w:val="0032160B"/>
    <w:rsid w:val="00321A06"/>
    <w:rsid w:val="00321BC0"/>
    <w:rsid w:val="00322317"/>
    <w:rsid w:val="00322AC0"/>
    <w:rsid w:val="00322C0E"/>
    <w:rsid w:val="00322C6E"/>
    <w:rsid w:val="00322DAA"/>
    <w:rsid w:val="00324632"/>
    <w:rsid w:val="0032470A"/>
    <w:rsid w:val="00325595"/>
    <w:rsid w:val="00326545"/>
    <w:rsid w:val="00331BCD"/>
    <w:rsid w:val="00331EA0"/>
    <w:rsid w:val="00332AF5"/>
    <w:rsid w:val="00333461"/>
    <w:rsid w:val="0033366A"/>
    <w:rsid w:val="00335A50"/>
    <w:rsid w:val="00335F1B"/>
    <w:rsid w:val="00340255"/>
    <w:rsid w:val="003406CD"/>
    <w:rsid w:val="00344462"/>
    <w:rsid w:val="0034647F"/>
    <w:rsid w:val="003466FC"/>
    <w:rsid w:val="00346B56"/>
    <w:rsid w:val="00347FCB"/>
    <w:rsid w:val="003506AB"/>
    <w:rsid w:val="00350A73"/>
    <w:rsid w:val="00351F3B"/>
    <w:rsid w:val="00351FA7"/>
    <w:rsid w:val="003556B0"/>
    <w:rsid w:val="003558B4"/>
    <w:rsid w:val="0035692D"/>
    <w:rsid w:val="00360AAE"/>
    <w:rsid w:val="00363499"/>
    <w:rsid w:val="003639AB"/>
    <w:rsid w:val="00363C8C"/>
    <w:rsid w:val="00365853"/>
    <w:rsid w:val="00365C58"/>
    <w:rsid w:val="003673B8"/>
    <w:rsid w:val="00370090"/>
    <w:rsid w:val="00370B57"/>
    <w:rsid w:val="0037132A"/>
    <w:rsid w:val="0037187B"/>
    <w:rsid w:val="0037419A"/>
    <w:rsid w:val="00376C33"/>
    <w:rsid w:val="00376C96"/>
    <w:rsid w:val="00377780"/>
    <w:rsid w:val="003805B3"/>
    <w:rsid w:val="0038113D"/>
    <w:rsid w:val="00381962"/>
    <w:rsid w:val="00381B2F"/>
    <w:rsid w:val="00384109"/>
    <w:rsid w:val="00384FBE"/>
    <w:rsid w:val="0038578C"/>
    <w:rsid w:val="00385AE1"/>
    <w:rsid w:val="00387738"/>
    <w:rsid w:val="0039058A"/>
    <w:rsid w:val="003907FC"/>
    <w:rsid w:val="00390FFE"/>
    <w:rsid w:val="00393497"/>
    <w:rsid w:val="003969FE"/>
    <w:rsid w:val="00396F9B"/>
    <w:rsid w:val="003A04B0"/>
    <w:rsid w:val="003A423E"/>
    <w:rsid w:val="003A4901"/>
    <w:rsid w:val="003A4CEC"/>
    <w:rsid w:val="003A561A"/>
    <w:rsid w:val="003B0532"/>
    <w:rsid w:val="003B0627"/>
    <w:rsid w:val="003B0A24"/>
    <w:rsid w:val="003B1A85"/>
    <w:rsid w:val="003B5A11"/>
    <w:rsid w:val="003B7E61"/>
    <w:rsid w:val="003C188D"/>
    <w:rsid w:val="003C1B84"/>
    <w:rsid w:val="003C20F2"/>
    <w:rsid w:val="003C3CDF"/>
    <w:rsid w:val="003C4EAA"/>
    <w:rsid w:val="003C6F35"/>
    <w:rsid w:val="003C760C"/>
    <w:rsid w:val="003C7920"/>
    <w:rsid w:val="003D0233"/>
    <w:rsid w:val="003D4A0F"/>
    <w:rsid w:val="003D70B4"/>
    <w:rsid w:val="003D7583"/>
    <w:rsid w:val="003D7B11"/>
    <w:rsid w:val="003E0AF9"/>
    <w:rsid w:val="003E2C7F"/>
    <w:rsid w:val="003E35D7"/>
    <w:rsid w:val="003E4383"/>
    <w:rsid w:val="003E4A19"/>
    <w:rsid w:val="003E4F8D"/>
    <w:rsid w:val="003E630B"/>
    <w:rsid w:val="003E7016"/>
    <w:rsid w:val="003E7E75"/>
    <w:rsid w:val="003F023A"/>
    <w:rsid w:val="003F034C"/>
    <w:rsid w:val="003F1745"/>
    <w:rsid w:val="003F2694"/>
    <w:rsid w:val="003F329F"/>
    <w:rsid w:val="003F400B"/>
    <w:rsid w:val="003F517E"/>
    <w:rsid w:val="003F70EC"/>
    <w:rsid w:val="003F754E"/>
    <w:rsid w:val="003F7EA7"/>
    <w:rsid w:val="004005A0"/>
    <w:rsid w:val="00400BE1"/>
    <w:rsid w:val="00400C5E"/>
    <w:rsid w:val="0040115C"/>
    <w:rsid w:val="00401755"/>
    <w:rsid w:val="0040381B"/>
    <w:rsid w:val="00403999"/>
    <w:rsid w:val="00403B2D"/>
    <w:rsid w:val="00404DCD"/>
    <w:rsid w:val="0040516A"/>
    <w:rsid w:val="004115C1"/>
    <w:rsid w:val="004149B0"/>
    <w:rsid w:val="0041587C"/>
    <w:rsid w:val="00415D3A"/>
    <w:rsid w:val="0042031C"/>
    <w:rsid w:val="00421D69"/>
    <w:rsid w:val="00421F5F"/>
    <w:rsid w:val="00421FFF"/>
    <w:rsid w:val="00422180"/>
    <w:rsid w:val="00422B0D"/>
    <w:rsid w:val="00424062"/>
    <w:rsid w:val="004250E9"/>
    <w:rsid w:val="00425D0D"/>
    <w:rsid w:val="004260EF"/>
    <w:rsid w:val="004264A8"/>
    <w:rsid w:val="00426C7D"/>
    <w:rsid w:val="00427940"/>
    <w:rsid w:val="00430727"/>
    <w:rsid w:val="0043184D"/>
    <w:rsid w:val="00432FBD"/>
    <w:rsid w:val="0043359A"/>
    <w:rsid w:val="00433D45"/>
    <w:rsid w:val="00434062"/>
    <w:rsid w:val="00435435"/>
    <w:rsid w:val="00436D41"/>
    <w:rsid w:val="00437248"/>
    <w:rsid w:val="00437B0D"/>
    <w:rsid w:val="00441C27"/>
    <w:rsid w:val="004431E8"/>
    <w:rsid w:val="0044622F"/>
    <w:rsid w:val="00446B4C"/>
    <w:rsid w:val="00447015"/>
    <w:rsid w:val="00447197"/>
    <w:rsid w:val="004471C5"/>
    <w:rsid w:val="00447229"/>
    <w:rsid w:val="00447CBB"/>
    <w:rsid w:val="00450AD7"/>
    <w:rsid w:val="00450E94"/>
    <w:rsid w:val="004516D4"/>
    <w:rsid w:val="004524A0"/>
    <w:rsid w:val="0045392A"/>
    <w:rsid w:val="004563EA"/>
    <w:rsid w:val="0045702B"/>
    <w:rsid w:val="00460BDC"/>
    <w:rsid w:val="00460C74"/>
    <w:rsid w:val="004634FA"/>
    <w:rsid w:val="00463812"/>
    <w:rsid w:val="00465EDE"/>
    <w:rsid w:val="00467D82"/>
    <w:rsid w:val="00470C98"/>
    <w:rsid w:val="00470E85"/>
    <w:rsid w:val="00470F67"/>
    <w:rsid w:val="004714FE"/>
    <w:rsid w:val="0047174B"/>
    <w:rsid w:val="00472444"/>
    <w:rsid w:val="004730FA"/>
    <w:rsid w:val="00474C21"/>
    <w:rsid w:val="00474D03"/>
    <w:rsid w:val="00475708"/>
    <w:rsid w:val="0047576C"/>
    <w:rsid w:val="00477445"/>
    <w:rsid w:val="0048046D"/>
    <w:rsid w:val="00480A9B"/>
    <w:rsid w:val="004818BF"/>
    <w:rsid w:val="00481932"/>
    <w:rsid w:val="00483CCF"/>
    <w:rsid w:val="00483ED4"/>
    <w:rsid w:val="004857AE"/>
    <w:rsid w:val="004867D5"/>
    <w:rsid w:val="00486D5F"/>
    <w:rsid w:val="00487757"/>
    <w:rsid w:val="0049044F"/>
    <w:rsid w:val="004916DB"/>
    <w:rsid w:val="00491AF4"/>
    <w:rsid w:val="00491ED4"/>
    <w:rsid w:val="00491EF7"/>
    <w:rsid w:val="004921D0"/>
    <w:rsid w:val="00493DCC"/>
    <w:rsid w:val="00494D40"/>
    <w:rsid w:val="004957CC"/>
    <w:rsid w:val="0049587F"/>
    <w:rsid w:val="00495AD6"/>
    <w:rsid w:val="00497CE7"/>
    <w:rsid w:val="004A07E7"/>
    <w:rsid w:val="004A0A53"/>
    <w:rsid w:val="004A230E"/>
    <w:rsid w:val="004A2F63"/>
    <w:rsid w:val="004A3D9C"/>
    <w:rsid w:val="004A4638"/>
    <w:rsid w:val="004A49F2"/>
    <w:rsid w:val="004A4BED"/>
    <w:rsid w:val="004A5271"/>
    <w:rsid w:val="004A560C"/>
    <w:rsid w:val="004A78D9"/>
    <w:rsid w:val="004B0CDD"/>
    <w:rsid w:val="004B30A6"/>
    <w:rsid w:val="004B6CC5"/>
    <w:rsid w:val="004C030C"/>
    <w:rsid w:val="004C0A14"/>
    <w:rsid w:val="004C1687"/>
    <w:rsid w:val="004C1E59"/>
    <w:rsid w:val="004C289D"/>
    <w:rsid w:val="004C3DFF"/>
    <w:rsid w:val="004C5B4D"/>
    <w:rsid w:val="004C78B6"/>
    <w:rsid w:val="004D1A8B"/>
    <w:rsid w:val="004D1E7B"/>
    <w:rsid w:val="004D2752"/>
    <w:rsid w:val="004D3C9E"/>
    <w:rsid w:val="004D42D9"/>
    <w:rsid w:val="004D449B"/>
    <w:rsid w:val="004D4BDA"/>
    <w:rsid w:val="004D5767"/>
    <w:rsid w:val="004D68C7"/>
    <w:rsid w:val="004D6D20"/>
    <w:rsid w:val="004D6EAF"/>
    <w:rsid w:val="004D7242"/>
    <w:rsid w:val="004E049A"/>
    <w:rsid w:val="004E05ED"/>
    <w:rsid w:val="004E14BE"/>
    <w:rsid w:val="004E2137"/>
    <w:rsid w:val="004E27BD"/>
    <w:rsid w:val="004E3477"/>
    <w:rsid w:val="004E3737"/>
    <w:rsid w:val="004E3E3C"/>
    <w:rsid w:val="004E5062"/>
    <w:rsid w:val="004E544D"/>
    <w:rsid w:val="004E5A3A"/>
    <w:rsid w:val="004E708E"/>
    <w:rsid w:val="004F06C8"/>
    <w:rsid w:val="004F1291"/>
    <w:rsid w:val="004F170F"/>
    <w:rsid w:val="004F1E11"/>
    <w:rsid w:val="004F2249"/>
    <w:rsid w:val="004F2FAB"/>
    <w:rsid w:val="004F409E"/>
    <w:rsid w:val="004F4574"/>
    <w:rsid w:val="004F4CC1"/>
    <w:rsid w:val="004F4D22"/>
    <w:rsid w:val="004F5D00"/>
    <w:rsid w:val="005002A7"/>
    <w:rsid w:val="005014F4"/>
    <w:rsid w:val="005017CA"/>
    <w:rsid w:val="00502E36"/>
    <w:rsid w:val="00503466"/>
    <w:rsid w:val="00503490"/>
    <w:rsid w:val="00503D75"/>
    <w:rsid w:val="00507089"/>
    <w:rsid w:val="00510076"/>
    <w:rsid w:val="00510981"/>
    <w:rsid w:val="00511E02"/>
    <w:rsid w:val="00514874"/>
    <w:rsid w:val="00515FFF"/>
    <w:rsid w:val="005206F9"/>
    <w:rsid w:val="00520997"/>
    <w:rsid w:val="00520B59"/>
    <w:rsid w:val="00521825"/>
    <w:rsid w:val="005227E8"/>
    <w:rsid w:val="0052290F"/>
    <w:rsid w:val="005237B2"/>
    <w:rsid w:val="00523C5F"/>
    <w:rsid w:val="00525C18"/>
    <w:rsid w:val="005269CA"/>
    <w:rsid w:val="005272B5"/>
    <w:rsid w:val="0052790C"/>
    <w:rsid w:val="005301F8"/>
    <w:rsid w:val="0053169A"/>
    <w:rsid w:val="00531704"/>
    <w:rsid w:val="00531D45"/>
    <w:rsid w:val="00532D78"/>
    <w:rsid w:val="0053572D"/>
    <w:rsid w:val="00535BB2"/>
    <w:rsid w:val="00535C32"/>
    <w:rsid w:val="00535DD2"/>
    <w:rsid w:val="0053629E"/>
    <w:rsid w:val="005414EB"/>
    <w:rsid w:val="0054231D"/>
    <w:rsid w:val="005438B9"/>
    <w:rsid w:val="00544E65"/>
    <w:rsid w:val="0054543B"/>
    <w:rsid w:val="00545DD1"/>
    <w:rsid w:val="00550A4B"/>
    <w:rsid w:val="00551055"/>
    <w:rsid w:val="0055105C"/>
    <w:rsid w:val="005541BF"/>
    <w:rsid w:val="005547A4"/>
    <w:rsid w:val="005547CE"/>
    <w:rsid w:val="00555A64"/>
    <w:rsid w:val="00557095"/>
    <w:rsid w:val="00560260"/>
    <w:rsid w:val="00560C2E"/>
    <w:rsid w:val="0056131F"/>
    <w:rsid w:val="005616B3"/>
    <w:rsid w:val="00561DA8"/>
    <w:rsid w:val="00562CEE"/>
    <w:rsid w:val="00564829"/>
    <w:rsid w:val="00565012"/>
    <w:rsid w:val="0056610E"/>
    <w:rsid w:val="00566FE8"/>
    <w:rsid w:val="005678AA"/>
    <w:rsid w:val="00570B93"/>
    <w:rsid w:val="00571E37"/>
    <w:rsid w:val="0057284A"/>
    <w:rsid w:val="00572E4E"/>
    <w:rsid w:val="0057399A"/>
    <w:rsid w:val="00576455"/>
    <w:rsid w:val="00577364"/>
    <w:rsid w:val="00577465"/>
    <w:rsid w:val="00577B7D"/>
    <w:rsid w:val="00581D6C"/>
    <w:rsid w:val="00581E04"/>
    <w:rsid w:val="00581F9E"/>
    <w:rsid w:val="00582A6A"/>
    <w:rsid w:val="00582CA1"/>
    <w:rsid w:val="00583946"/>
    <w:rsid w:val="0058485D"/>
    <w:rsid w:val="00585246"/>
    <w:rsid w:val="00586BFA"/>
    <w:rsid w:val="0059000A"/>
    <w:rsid w:val="00590B27"/>
    <w:rsid w:val="00590DED"/>
    <w:rsid w:val="0059164E"/>
    <w:rsid w:val="00591F16"/>
    <w:rsid w:val="005935AB"/>
    <w:rsid w:val="00594DA1"/>
    <w:rsid w:val="00594DFD"/>
    <w:rsid w:val="00594EBB"/>
    <w:rsid w:val="00595763"/>
    <w:rsid w:val="00596AAD"/>
    <w:rsid w:val="00596C59"/>
    <w:rsid w:val="00597F6D"/>
    <w:rsid w:val="005A13ED"/>
    <w:rsid w:val="005A1D5B"/>
    <w:rsid w:val="005A3A58"/>
    <w:rsid w:val="005A3E76"/>
    <w:rsid w:val="005A5984"/>
    <w:rsid w:val="005A59BC"/>
    <w:rsid w:val="005A6AF7"/>
    <w:rsid w:val="005A7050"/>
    <w:rsid w:val="005A7183"/>
    <w:rsid w:val="005B0D0C"/>
    <w:rsid w:val="005B1D49"/>
    <w:rsid w:val="005B32E3"/>
    <w:rsid w:val="005B375C"/>
    <w:rsid w:val="005B3BB2"/>
    <w:rsid w:val="005B44E4"/>
    <w:rsid w:val="005B5243"/>
    <w:rsid w:val="005B7EBE"/>
    <w:rsid w:val="005C11A5"/>
    <w:rsid w:val="005C1D68"/>
    <w:rsid w:val="005C44C9"/>
    <w:rsid w:val="005C5850"/>
    <w:rsid w:val="005C5949"/>
    <w:rsid w:val="005C5B2C"/>
    <w:rsid w:val="005C5EB0"/>
    <w:rsid w:val="005C65A1"/>
    <w:rsid w:val="005C65BC"/>
    <w:rsid w:val="005C7164"/>
    <w:rsid w:val="005D24C4"/>
    <w:rsid w:val="005D2C88"/>
    <w:rsid w:val="005D38B1"/>
    <w:rsid w:val="005D3A72"/>
    <w:rsid w:val="005D47C4"/>
    <w:rsid w:val="005D4C94"/>
    <w:rsid w:val="005D552B"/>
    <w:rsid w:val="005D602B"/>
    <w:rsid w:val="005D711A"/>
    <w:rsid w:val="005D74DE"/>
    <w:rsid w:val="005D75F0"/>
    <w:rsid w:val="005E0CFF"/>
    <w:rsid w:val="005E1272"/>
    <w:rsid w:val="005E2242"/>
    <w:rsid w:val="005E2493"/>
    <w:rsid w:val="005E2E75"/>
    <w:rsid w:val="005E33DE"/>
    <w:rsid w:val="005E4590"/>
    <w:rsid w:val="005E48A9"/>
    <w:rsid w:val="005E4BD2"/>
    <w:rsid w:val="005E4E98"/>
    <w:rsid w:val="005E7E72"/>
    <w:rsid w:val="005F3410"/>
    <w:rsid w:val="005F53C0"/>
    <w:rsid w:val="005F5A3D"/>
    <w:rsid w:val="005F7E45"/>
    <w:rsid w:val="00601440"/>
    <w:rsid w:val="0060296D"/>
    <w:rsid w:val="00602ABE"/>
    <w:rsid w:val="00603898"/>
    <w:rsid w:val="00604357"/>
    <w:rsid w:val="006047D8"/>
    <w:rsid w:val="006050E5"/>
    <w:rsid w:val="006051C4"/>
    <w:rsid w:val="00610711"/>
    <w:rsid w:val="00610944"/>
    <w:rsid w:val="00611DA3"/>
    <w:rsid w:val="006125F2"/>
    <w:rsid w:val="00612C83"/>
    <w:rsid w:val="0061505A"/>
    <w:rsid w:val="00617ED4"/>
    <w:rsid w:val="006207E8"/>
    <w:rsid w:val="006210DA"/>
    <w:rsid w:val="00621340"/>
    <w:rsid w:val="00621E57"/>
    <w:rsid w:val="00622B28"/>
    <w:rsid w:val="00623029"/>
    <w:rsid w:val="006262E1"/>
    <w:rsid w:val="00626A24"/>
    <w:rsid w:val="00627003"/>
    <w:rsid w:val="00630846"/>
    <w:rsid w:val="00630A29"/>
    <w:rsid w:val="00630C3D"/>
    <w:rsid w:val="006324C5"/>
    <w:rsid w:val="00633186"/>
    <w:rsid w:val="00637B02"/>
    <w:rsid w:val="00640609"/>
    <w:rsid w:val="006406C1"/>
    <w:rsid w:val="006426FA"/>
    <w:rsid w:val="00644BBB"/>
    <w:rsid w:val="00645328"/>
    <w:rsid w:val="0064696B"/>
    <w:rsid w:val="00650DA7"/>
    <w:rsid w:val="00651E69"/>
    <w:rsid w:val="006527BE"/>
    <w:rsid w:val="00652EE8"/>
    <w:rsid w:val="0065354E"/>
    <w:rsid w:val="006546A9"/>
    <w:rsid w:val="00654936"/>
    <w:rsid w:val="00655299"/>
    <w:rsid w:val="006555E6"/>
    <w:rsid w:val="006567BC"/>
    <w:rsid w:val="00657B3F"/>
    <w:rsid w:val="00657EE3"/>
    <w:rsid w:val="00662EF9"/>
    <w:rsid w:val="00664541"/>
    <w:rsid w:val="00665045"/>
    <w:rsid w:val="006656B3"/>
    <w:rsid w:val="00666726"/>
    <w:rsid w:val="006670AD"/>
    <w:rsid w:val="00667E6E"/>
    <w:rsid w:val="00670669"/>
    <w:rsid w:val="006712D4"/>
    <w:rsid w:val="00672E5D"/>
    <w:rsid w:val="00673620"/>
    <w:rsid w:val="00673C06"/>
    <w:rsid w:val="00674CE6"/>
    <w:rsid w:val="006751D9"/>
    <w:rsid w:val="00675BCE"/>
    <w:rsid w:val="006768DD"/>
    <w:rsid w:val="00676DD6"/>
    <w:rsid w:val="0067736C"/>
    <w:rsid w:val="0068171F"/>
    <w:rsid w:val="00681863"/>
    <w:rsid w:val="00681F7C"/>
    <w:rsid w:val="00682D30"/>
    <w:rsid w:val="00683C7E"/>
    <w:rsid w:val="0068413A"/>
    <w:rsid w:val="00685807"/>
    <w:rsid w:val="00690AAD"/>
    <w:rsid w:val="0069293B"/>
    <w:rsid w:val="00692E96"/>
    <w:rsid w:val="00693122"/>
    <w:rsid w:val="00693E97"/>
    <w:rsid w:val="00694C64"/>
    <w:rsid w:val="00694E33"/>
    <w:rsid w:val="00697250"/>
    <w:rsid w:val="006A03CA"/>
    <w:rsid w:val="006A085D"/>
    <w:rsid w:val="006A088C"/>
    <w:rsid w:val="006A1394"/>
    <w:rsid w:val="006A1428"/>
    <w:rsid w:val="006A22EA"/>
    <w:rsid w:val="006A2371"/>
    <w:rsid w:val="006A41A6"/>
    <w:rsid w:val="006A5D9F"/>
    <w:rsid w:val="006A5FD0"/>
    <w:rsid w:val="006A5FF6"/>
    <w:rsid w:val="006A7E12"/>
    <w:rsid w:val="006B032D"/>
    <w:rsid w:val="006B23F6"/>
    <w:rsid w:val="006B49CB"/>
    <w:rsid w:val="006B4D7B"/>
    <w:rsid w:val="006B5FC2"/>
    <w:rsid w:val="006B7FD5"/>
    <w:rsid w:val="006C067E"/>
    <w:rsid w:val="006C1596"/>
    <w:rsid w:val="006C5279"/>
    <w:rsid w:val="006C5BF7"/>
    <w:rsid w:val="006C75ED"/>
    <w:rsid w:val="006D1A43"/>
    <w:rsid w:val="006D30F2"/>
    <w:rsid w:val="006D3E46"/>
    <w:rsid w:val="006D548B"/>
    <w:rsid w:val="006D5EEB"/>
    <w:rsid w:val="006D6960"/>
    <w:rsid w:val="006D6A7F"/>
    <w:rsid w:val="006D7648"/>
    <w:rsid w:val="006D785C"/>
    <w:rsid w:val="006D7EE3"/>
    <w:rsid w:val="006E101C"/>
    <w:rsid w:val="006E1F53"/>
    <w:rsid w:val="006E20CF"/>
    <w:rsid w:val="006E2980"/>
    <w:rsid w:val="006E4F29"/>
    <w:rsid w:val="006E55F0"/>
    <w:rsid w:val="006E6628"/>
    <w:rsid w:val="006E6CCD"/>
    <w:rsid w:val="006E7D63"/>
    <w:rsid w:val="006E7F4F"/>
    <w:rsid w:val="006F1103"/>
    <w:rsid w:val="006F248F"/>
    <w:rsid w:val="006F2CE4"/>
    <w:rsid w:val="006F7C40"/>
    <w:rsid w:val="006F7C54"/>
    <w:rsid w:val="00700BF6"/>
    <w:rsid w:val="0070225C"/>
    <w:rsid w:val="007054DD"/>
    <w:rsid w:val="00711B78"/>
    <w:rsid w:val="00713D4E"/>
    <w:rsid w:val="00713E57"/>
    <w:rsid w:val="007142A1"/>
    <w:rsid w:val="007144A7"/>
    <w:rsid w:val="0071489B"/>
    <w:rsid w:val="00714FAF"/>
    <w:rsid w:val="007151CF"/>
    <w:rsid w:val="00716CA7"/>
    <w:rsid w:val="00716EE3"/>
    <w:rsid w:val="00720D08"/>
    <w:rsid w:val="00722F3E"/>
    <w:rsid w:val="00723F86"/>
    <w:rsid w:val="00726E53"/>
    <w:rsid w:val="00727730"/>
    <w:rsid w:val="007315EB"/>
    <w:rsid w:val="007334A4"/>
    <w:rsid w:val="00733530"/>
    <w:rsid w:val="00733A86"/>
    <w:rsid w:val="00733BA3"/>
    <w:rsid w:val="00735C91"/>
    <w:rsid w:val="00740AE3"/>
    <w:rsid w:val="00740BF6"/>
    <w:rsid w:val="007410CF"/>
    <w:rsid w:val="00741222"/>
    <w:rsid w:val="00741617"/>
    <w:rsid w:val="00741F19"/>
    <w:rsid w:val="007421B6"/>
    <w:rsid w:val="00743527"/>
    <w:rsid w:val="00744D79"/>
    <w:rsid w:val="00745B1C"/>
    <w:rsid w:val="00746548"/>
    <w:rsid w:val="0075188B"/>
    <w:rsid w:val="00755975"/>
    <w:rsid w:val="00755B5E"/>
    <w:rsid w:val="00756D80"/>
    <w:rsid w:val="0075735A"/>
    <w:rsid w:val="00757FC4"/>
    <w:rsid w:val="00761264"/>
    <w:rsid w:val="00761B35"/>
    <w:rsid w:val="00761F7F"/>
    <w:rsid w:val="00762D41"/>
    <w:rsid w:val="00767C83"/>
    <w:rsid w:val="00767E7F"/>
    <w:rsid w:val="00771D34"/>
    <w:rsid w:val="00773D03"/>
    <w:rsid w:val="00774203"/>
    <w:rsid w:val="007745B6"/>
    <w:rsid w:val="007748CD"/>
    <w:rsid w:val="00774FCD"/>
    <w:rsid w:val="00776656"/>
    <w:rsid w:val="007777A5"/>
    <w:rsid w:val="007778FC"/>
    <w:rsid w:val="0078206C"/>
    <w:rsid w:val="0078406A"/>
    <w:rsid w:val="00786350"/>
    <w:rsid w:val="00790B9E"/>
    <w:rsid w:val="007915CB"/>
    <w:rsid w:val="00792C5F"/>
    <w:rsid w:val="007934A5"/>
    <w:rsid w:val="00794A38"/>
    <w:rsid w:val="007A21DC"/>
    <w:rsid w:val="007A3510"/>
    <w:rsid w:val="007A37C6"/>
    <w:rsid w:val="007A3CCF"/>
    <w:rsid w:val="007A47CC"/>
    <w:rsid w:val="007A56D2"/>
    <w:rsid w:val="007A64ED"/>
    <w:rsid w:val="007A6556"/>
    <w:rsid w:val="007A7328"/>
    <w:rsid w:val="007A789C"/>
    <w:rsid w:val="007B04BA"/>
    <w:rsid w:val="007B05AC"/>
    <w:rsid w:val="007B0C25"/>
    <w:rsid w:val="007B0D25"/>
    <w:rsid w:val="007B239E"/>
    <w:rsid w:val="007B266A"/>
    <w:rsid w:val="007B3576"/>
    <w:rsid w:val="007B4DAF"/>
    <w:rsid w:val="007B7D21"/>
    <w:rsid w:val="007C0DC3"/>
    <w:rsid w:val="007C355E"/>
    <w:rsid w:val="007C36DF"/>
    <w:rsid w:val="007C3AA9"/>
    <w:rsid w:val="007C4501"/>
    <w:rsid w:val="007C5614"/>
    <w:rsid w:val="007D06A5"/>
    <w:rsid w:val="007D14FC"/>
    <w:rsid w:val="007D31CF"/>
    <w:rsid w:val="007D3525"/>
    <w:rsid w:val="007D369E"/>
    <w:rsid w:val="007D36FF"/>
    <w:rsid w:val="007D3875"/>
    <w:rsid w:val="007D3BA0"/>
    <w:rsid w:val="007D4644"/>
    <w:rsid w:val="007D5294"/>
    <w:rsid w:val="007D5F79"/>
    <w:rsid w:val="007D71A0"/>
    <w:rsid w:val="007D75A4"/>
    <w:rsid w:val="007E05EF"/>
    <w:rsid w:val="007E1770"/>
    <w:rsid w:val="007E1834"/>
    <w:rsid w:val="007E25A3"/>
    <w:rsid w:val="007E2E79"/>
    <w:rsid w:val="007E30DA"/>
    <w:rsid w:val="007E3295"/>
    <w:rsid w:val="007E33E9"/>
    <w:rsid w:val="007E361D"/>
    <w:rsid w:val="007E43CD"/>
    <w:rsid w:val="007E4603"/>
    <w:rsid w:val="007E4BB6"/>
    <w:rsid w:val="007E4E48"/>
    <w:rsid w:val="007E7395"/>
    <w:rsid w:val="007E7753"/>
    <w:rsid w:val="007F0964"/>
    <w:rsid w:val="007F1650"/>
    <w:rsid w:val="007F17FF"/>
    <w:rsid w:val="007F1DFB"/>
    <w:rsid w:val="007F241F"/>
    <w:rsid w:val="007F45E1"/>
    <w:rsid w:val="007F5C17"/>
    <w:rsid w:val="007F5D1A"/>
    <w:rsid w:val="007F5FCF"/>
    <w:rsid w:val="007F7331"/>
    <w:rsid w:val="007F7B55"/>
    <w:rsid w:val="0080090D"/>
    <w:rsid w:val="0080139D"/>
    <w:rsid w:val="00802550"/>
    <w:rsid w:val="008047AC"/>
    <w:rsid w:val="00805A8E"/>
    <w:rsid w:val="008064A0"/>
    <w:rsid w:val="00806B96"/>
    <w:rsid w:val="008112BE"/>
    <w:rsid w:val="008114A6"/>
    <w:rsid w:val="0081288D"/>
    <w:rsid w:val="00812E15"/>
    <w:rsid w:val="0081332A"/>
    <w:rsid w:val="00813534"/>
    <w:rsid w:val="00814149"/>
    <w:rsid w:val="00814220"/>
    <w:rsid w:val="008178B0"/>
    <w:rsid w:val="00820150"/>
    <w:rsid w:val="008203DC"/>
    <w:rsid w:val="00820E77"/>
    <w:rsid w:val="00821DE6"/>
    <w:rsid w:val="00822A3E"/>
    <w:rsid w:val="008231C9"/>
    <w:rsid w:val="00824178"/>
    <w:rsid w:val="00824561"/>
    <w:rsid w:val="008258A0"/>
    <w:rsid w:val="0082694E"/>
    <w:rsid w:val="00826C85"/>
    <w:rsid w:val="00826D33"/>
    <w:rsid w:val="00827E42"/>
    <w:rsid w:val="008300C0"/>
    <w:rsid w:val="00831D78"/>
    <w:rsid w:val="00832C85"/>
    <w:rsid w:val="008339C4"/>
    <w:rsid w:val="00833C58"/>
    <w:rsid w:val="0083574C"/>
    <w:rsid w:val="00835DDB"/>
    <w:rsid w:val="008366DE"/>
    <w:rsid w:val="0084004C"/>
    <w:rsid w:val="008409E4"/>
    <w:rsid w:val="0084166D"/>
    <w:rsid w:val="0084196D"/>
    <w:rsid w:val="00841BE4"/>
    <w:rsid w:val="00842389"/>
    <w:rsid w:val="00842F39"/>
    <w:rsid w:val="00844AED"/>
    <w:rsid w:val="00844BD1"/>
    <w:rsid w:val="00844F4E"/>
    <w:rsid w:val="00845010"/>
    <w:rsid w:val="0084698C"/>
    <w:rsid w:val="00850249"/>
    <w:rsid w:val="00852329"/>
    <w:rsid w:val="0085458F"/>
    <w:rsid w:val="00855092"/>
    <w:rsid w:val="00856290"/>
    <w:rsid w:val="0085670F"/>
    <w:rsid w:val="0085751E"/>
    <w:rsid w:val="00857555"/>
    <w:rsid w:val="00857B1A"/>
    <w:rsid w:val="008602BC"/>
    <w:rsid w:val="008617D2"/>
    <w:rsid w:val="00862A94"/>
    <w:rsid w:val="00862BCC"/>
    <w:rsid w:val="00862CD7"/>
    <w:rsid w:val="00863949"/>
    <w:rsid w:val="00863CC0"/>
    <w:rsid w:val="0086410C"/>
    <w:rsid w:val="00864497"/>
    <w:rsid w:val="00864883"/>
    <w:rsid w:val="00866BF3"/>
    <w:rsid w:val="00867FDB"/>
    <w:rsid w:val="00871184"/>
    <w:rsid w:val="00871974"/>
    <w:rsid w:val="00872774"/>
    <w:rsid w:val="0087341B"/>
    <w:rsid w:val="00873E59"/>
    <w:rsid w:val="008752FF"/>
    <w:rsid w:val="0087644F"/>
    <w:rsid w:val="008770AD"/>
    <w:rsid w:val="008777AE"/>
    <w:rsid w:val="00877F83"/>
    <w:rsid w:val="00880569"/>
    <w:rsid w:val="008819DB"/>
    <w:rsid w:val="00881B2D"/>
    <w:rsid w:val="00881BFC"/>
    <w:rsid w:val="008821F9"/>
    <w:rsid w:val="00884134"/>
    <w:rsid w:val="008845F7"/>
    <w:rsid w:val="00884A53"/>
    <w:rsid w:val="00884DF7"/>
    <w:rsid w:val="00890E85"/>
    <w:rsid w:val="008918B8"/>
    <w:rsid w:val="00891DD2"/>
    <w:rsid w:val="008923DE"/>
    <w:rsid w:val="00895D1A"/>
    <w:rsid w:val="0089678A"/>
    <w:rsid w:val="0089738E"/>
    <w:rsid w:val="0089786D"/>
    <w:rsid w:val="00897B87"/>
    <w:rsid w:val="008A080C"/>
    <w:rsid w:val="008A09B3"/>
    <w:rsid w:val="008A11FA"/>
    <w:rsid w:val="008A1205"/>
    <w:rsid w:val="008A1831"/>
    <w:rsid w:val="008A2C8A"/>
    <w:rsid w:val="008A3B6F"/>
    <w:rsid w:val="008A3E00"/>
    <w:rsid w:val="008A533F"/>
    <w:rsid w:val="008A64BE"/>
    <w:rsid w:val="008B0348"/>
    <w:rsid w:val="008B0612"/>
    <w:rsid w:val="008B0C90"/>
    <w:rsid w:val="008B3AB7"/>
    <w:rsid w:val="008B3D07"/>
    <w:rsid w:val="008B41ED"/>
    <w:rsid w:val="008B54CE"/>
    <w:rsid w:val="008B573E"/>
    <w:rsid w:val="008B58EF"/>
    <w:rsid w:val="008B6894"/>
    <w:rsid w:val="008B77F1"/>
    <w:rsid w:val="008B7E4B"/>
    <w:rsid w:val="008C07C8"/>
    <w:rsid w:val="008C2677"/>
    <w:rsid w:val="008C3695"/>
    <w:rsid w:val="008C4E87"/>
    <w:rsid w:val="008C502E"/>
    <w:rsid w:val="008C7F38"/>
    <w:rsid w:val="008D1240"/>
    <w:rsid w:val="008D19E8"/>
    <w:rsid w:val="008D33C6"/>
    <w:rsid w:val="008D4D48"/>
    <w:rsid w:val="008D56D3"/>
    <w:rsid w:val="008D579F"/>
    <w:rsid w:val="008D7C3A"/>
    <w:rsid w:val="008D7F76"/>
    <w:rsid w:val="008E464D"/>
    <w:rsid w:val="008E4848"/>
    <w:rsid w:val="008E5DDC"/>
    <w:rsid w:val="008E6B0F"/>
    <w:rsid w:val="008E7779"/>
    <w:rsid w:val="008F2D5E"/>
    <w:rsid w:val="008F3339"/>
    <w:rsid w:val="008F4326"/>
    <w:rsid w:val="008F4912"/>
    <w:rsid w:val="008F6A84"/>
    <w:rsid w:val="008F78B5"/>
    <w:rsid w:val="008F7B71"/>
    <w:rsid w:val="00900461"/>
    <w:rsid w:val="00903B6B"/>
    <w:rsid w:val="00904CC9"/>
    <w:rsid w:val="00905D72"/>
    <w:rsid w:val="009069A8"/>
    <w:rsid w:val="009074EE"/>
    <w:rsid w:val="0091172E"/>
    <w:rsid w:val="00912CD2"/>
    <w:rsid w:val="00912ECE"/>
    <w:rsid w:val="0091388C"/>
    <w:rsid w:val="00913A2D"/>
    <w:rsid w:val="00913B25"/>
    <w:rsid w:val="00914165"/>
    <w:rsid w:val="0091483D"/>
    <w:rsid w:val="00914B6E"/>
    <w:rsid w:val="00914D8A"/>
    <w:rsid w:val="00914E91"/>
    <w:rsid w:val="00915748"/>
    <w:rsid w:val="00916D69"/>
    <w:rsid w:val="009173DC"/>
    <w:rsid w:val="00920202"/>
    <w:rsid w:val="00920B67"/>
    <w:rsid w:val="00920F7B"/>
    <w:rsid w:val="00922093"/>
    <w:rsid w:val="00922547"/>
    <w:rsid w:val="00922AA5"/>
    <w:rsid w:val="00922B39"/>
    <w:rsid w:val="00923751"/>
    <w:rsid w:val="00923A5C"/>
    <w:rsid w:val="00923BF4"/>
    <w:rsid w:val="00924DC2"/>
    <w:rsid w:val="00925549"/>
    <w:rsid w:val="00925569"/>
    <w:rsid w:val="00926252"/>
    <w:rsid w:val="00927202"/>
    <w:rsid w:val="009276B7"/>
    <w:rsid w:val="00927A41"/>
    <w:rsid w:val="009303DA"/>
    <w:rsid w:val="0093064E"/>
    <w:rsid w:val="009316A8"/>
    <w:rsid w:val="00933354"/>
    <w:rsid w:val="0093504D"/>
    <w:rsid w:val="00940788"/>
    <w:rsid w:val="009420CC"/>
    <w:rsid w:val="00943A54"/>
    <w:rsid w:val="009444B8"/>
    <w:rsid w:val="00945337"/>
    <w:rsid w:val="00945E11"/>
    <w:rsid w:val="00945F21"/>
    <w:rsid w:val="00946084"/>
    <w:rsid w:val="00947298"/>
    <w:rsid w:val="00950D58"/>
    <w:rsid w:val="00950F22"/>
    <w:rsid w:val="00952751"/>
    <w:rsid w:val="009528C7"/>
    <w:rsid w:val="009530CE"/>
    <w:rsid w:val="00955BCB"/>
    <w:rsid w:val="009561FB"/>
    <w:rsid w:val="00956B40"/>
    <w:rsid w:val="00956B6C"/>
    <w:rsid w:val="00956CCA"/>
    <w:rsid w:val="0096122B"/>
    <w:rsid w:val="009616FA"/>
    <w:rsid w:val="00963854"/>
    <w:rsid w:val="009639D2"/>
    <w:rsid w:val="00964CAA"/>
    <w:rsid w:val="00965660"/>
    <w:rsid w:val="00965881"/>
    <w:rsid w:val="00965D6F"/>
    <w:rsid w:val="00965D91"/>
    <w:rsid w:val="00965E3A"/>
    <w:rsid w:val="009660E7"/>
    <w:rsid w:val="00966890"/>
    <w:rsid w:val="00967603"/>
    <w:rsid w:val="009678DE"/>
    <w:rsid w:val="00967D10"/>
    <w:rsid w:val="00970B31"/>
    <w:rsid w:val="00972187"/>
    <w:rsid w:val="0097413A"/>
    <w:rsid w:val="0097441C"/>
    <w:rsid w:val="00974973"/>
    <w:rsid w:val="00974C49"/>
    <w:rsid w:val="0097540F"/>
    <w:rsid w:val="009766C0"/>
    <w:rsid w:val="00984D52"/>
    <w:rsid w:val="00986CE8"/>
    <w:rsid w:val="00987684"/>
    <w:rsid w:val="0099240D"/>
    <w:rsid w:val="00994379"/>
    <w:rsid w:val="009957B1"/>
    <w:rsid w:val="00995952"/>
    <w:rsid w:val="00997BF4"/>
    <w:rsid w:val="009A0142"/>
    <w:rsid w:val="009A0A40"/>
    <w:rsid w:val="009A2BD0"/>
    <w:rsid w:val="009A3EAF"/>
    <w:rsid w:val="009A4AD1"/>
    <w:rsid w:val="009A4CCA"/>
    <w:rsid w:val="009A6435"/>
    <w:rsid w:val="009A69C5"/>
    <w:rsid w:val="009B0E32"/>
    <w:rsid w:val="009B1B56"/>
    <w:rsid w:val="009B21B7"/>
    <w:rsid w:val="009B3965"/>
    <w:rsid w:val="009B3968"/>
    <w:rsid w:val="009B3B8D"/>
    <w:rsid w:val="009B476E"/>
    <w:rsid w:val="009B5170"/>
    <w:rsid w:val="009B6C39"/>
    <w:rsid w:val="009B6DD2"/>
    <w:rsid w:val="009C30B4"/>
    <w:rsid w:val="009C3896"/>
    <w:rsid w:val="009C4145"/>
    <w:rsid w:val="009C41B7"/>
    <w:rsid w:val="009C49A9"/>
    <w:rsid w:val="009C4C70"/>
    <w:rsid w:val="009C4CE3"/>
    <w:rsid w:val="009C52C7"/>
    <w:rsid w:val="009C720D"/>
    <w:rsid w:val="009C7219"/>
    <w:rsid w:val="009D06BA"/>
    <w:rsid w:val="009D228F"/>
    <w:rsid w:val="009D3437"/>
    <w:rsid w:val="009D4CC5"/>
    <w:rsid w:val="009D60E2"/>
    <w:rsid w:val="009D628E"/>
    <w:rsid w:val="009D72DB"/>
    <w:rsid w:val="009E0510"/>
    <w:rsid w:val="009E1E62"/>
    <w:rsid w:val="009E3102"/>
    <w:rsid w:val="009E3579"/>
    <w:rsid w:val="009E4359"/>
    <w:rsid w:val="009E43B5"/>
    <w:rsid w:val="009E4811"/>
    <w:rsid w:val="009E5AEA"/>
    <w:rsid w:val="009E7FD0"/>
    <w:rsid w:val="009F1AC3"/>
    <w:rsid w:val="009F20A2"/>
    <w:rsid w:val="009F22A4"/>
    <w:rsid w:val="009F3320"/>
    <w:rsid w:val="009F3883"/>
    <w:rsid w:val="009F3D20"/>
    <w:rsid w:val="009F4CA3"/>
    <w:rsid w:val="009F5536"/>
    <w:rsid w:val="009F5EF5"/>
    <w:rsid w:val="00A00361"/>
    <w:rsid w:val="00A01B24"/>
    <w:rsid w:val="00A0294F"/>
    <w:rsid w:val="00A05704"/>
    <w:rsid w:val="00A05AB7"/>
    <w:rsid w:val="00A05D85"/>
    <w:rsid w:val="00A061A4"/>
    <w:rsid w:val="00A0703C"/>
    <w:rsid w:val="00A07387"/>
    <w:rsid w:val="00A07F26"/>
    <w:rsid w:val="00A1050F"/>
    <w:rsid w:val="00A10C28"/>
    <w:rsid w:val="00A10C87"/>
    <w:rsid w:val="00A11D65"/>
    <w:rsid w:val="00A131B6"/>
    <w:rsid w:val="00A1325F"/>
    <w:rsid w:val="00A13437"/>
    <w:rsid w:val="00A171ED"/>
    <w:rsid w:val="00A22F3F"/>
    <w:rsid w:val="00A25161"/>
    <w:rsid w:val="00A252FA"/>
    <w:rsid w:val="00A25EC9"/>
    <w:rsid w:val="00A31900"/>
    <w:rsid w:val="00A32296"/>
    <w:rsid w:val="00A325EF"/>
    <w:rsid w:val="00A327D6"/>
    <w:rsid w:val="00A32D78"/>
    <w:rsid w:val="00A331D9"/>
    <w:rsid w:val="00A35B51"/>
    <w:rsid w:val="00A36D95"/>
    <w:rsid w:val="00A41583"/>
    <w:rsid w:val="00A42825"/>
    <w:rsid w:val="00A42EDE"/>
    <w:rsid w:val="00A430BB"/>
    <w:rsid w:val="00A43E51"/>
    <w:rsid w:val="00A44995"/>
    <w:rsid w:val="00A44AB4"/>
    <w:rsid w:val="00A45BFE"/>
    <w:rsid w:val="00A45CCB"/>
    <w:rsid w:val="00A465B5"/>
    <w:rsid w:val="00A515EF"/>
    <w:rsid w:val="00A52038"/>
    <w:rsid w:val="00A5207C"/>
    <w:rsid w:val="00A52DD8"/>
    <w:rsid w:val="00A538A2"/>
    <w:rsid w:val="00A53B98"/>
    <w:rsid w:val="00A54304"/>
    <w:rsid w:val="00A60117"/>
    <w:rsid w:val="00A6119B"/>
    <w:rsid w:val="00A623C4"/>
    <w:rsid w:val="00A62BB9"/>
    <w:rsid w:val="00A67461"/>
    <w:rsid w:val="00A710FE"/>
    <w:rsid w:val="00A718CE"/>
    <w:rsid w:val="00A72236"/>
    <w:rsid w:val="00A7499D"/>
    <w:rsid w:val="00A7506C"/>
    <w:rsid w:val="00A7571D"/>
    <w:rsid w:val="00A75903"/>
    <w:rsid w:val="00A75974"/>
    <w:rsid w:val="00A80CA5"/>
    <w:rsid w:val="00A8248C"/>
    <w:rsid w:val="00A82526"/>
    <w:rsid w:val="00A831E9"/>
    <w:rsid w:val="00A8374F"/>
    <w:rsid w:val="00A840E1"/>
    <w:rsid w:val="00A84870"/>
    <w:rsid w:val="00A84945"/>
    <w:rsid w:val="00A86EF1"/>
    <w:rsid w:val="00A87396"/>
    <w:rsid w:val="00A875B9"/>
    <w:rsid w:val="00A87C67"/>
    <w:rsid w:val="00A90CC8"/>
    <w:rsid w:val="00A915DD"/>
    <w:rsid w:val="00A9188B"/>
    <w:rsid w:val="00A93985"/>
    <w:rsid w:val="00A94EB5"/>
    <w:rsid w:val="00A95171"/>
    <w:rsid w:val="00A958E2"/>
    <w:rsid w:val="00A97631"/>
    <w:rsid w:val="00A97B7F"/>
    <w:rsid w:val="00AA0EEB"/>
    <w:rsid w:val="00AA1E32"/>
    <w:rsid w:val="00AA3807"/>
    <w:rsid w:val="00AA3A3F"/>
    <w:rsid w:val="00AA4DDE"/>
    <w:rsid w:val="00AA51A1"/>
    <w:rsid w:val="00AA520B"/>
    <w:rsid w:val="00AA6914"/>
    <w:rsid w:val="00AB04D0"/>
    <w:rsid w:val="00AB1242"/>
    <w:rsid w:val="00AB187B"/>
    <w:rsid w:val="00AB1FA9"/>
    <w:rsid w:val="00AB2530"/>
    <w:rsid w:val="00AB2C42"/>
    <w:rsid w:val="00AB32A6"/>
    <w:rsid w:val="00AB68E5"/>
    <w:rsid w:val="00AB78B1"/>
    <w:rsid w:val="00AC02B1"/>
    <w:rsid w:val="00AC0CF7"/>
    <w:rsid w:val="00AC3349"/>
    <w:rsid w:val="00AC3E53"/>
    <w:rsid w:val="00AC569E"/>
    <w:rsid w:val="00AC5BD0"/>
    <w:rsid w:val="00AC5EEE"/>
    <w:rsid w:val="00AC65D2"/>
    <w:rsid w:val="00AC6834"/>
    <w:rsid w:val="00AC7169"/>
    <w:rsid w:val="00AC7841"/>
    <w:rsid w:val="00AD09DE"/>
    <w:rsid w:val="00AD0CA5"/>
    <w:rsid w:val="00AD219A"/>
    <w:rsid w:val="00AD4A71"/>
    <w:rsid w:val="00AD5728"/>
    <w:rsid w:val="00AD66D6"/>
    <w:rsid w:val="00AD7014"/>
    <w:rsid w:val="00AD7850"/>
    <w:rsid w:val="00AD7A14"/>
    <w:rsid w:val="00AE0E5C"/>
    <w:rsid w:val="00AE1FB3"/>
    <w:rsid w:val="00AE21E1"/>
    <w:rsid w:val="00AE31DE"/>
    <w:rsid w:val="00AE3AA6"/>
    <w:rsid w:val="00AE41B8"/>
    <w:rsid w:val="00AE42E7"/>
    <w:rsid w:val="00AE46DD"/>
    <w:rsid w:val="00AE4C3A"/>
    <w:rsid w:val="00AE5103"/>
    <w:rsid w:val="00AE5456"/>
    <w:rsid w:val="00AE5BCC"/>
    <w:rsid w:val="00AE5DA2"/>
    <w:rsid w:val="00AF1A4D"/>
    <w:rsid w:val="00AF3412"/>
    <w:rsid w:val="00AF4640"/>
    <w:rsid w:val="00AF4CD8"/>
    <w:rsid w:val="00AF54EA"/>
    <w:rsid w:val="00AF55FE"/>
    <w:rsid w:val="00AF5C73"/>
    <w:rsid w:val="00AF77BA"/>
    <w:rsid w:val="00AF7F11"/>
    <w:rsid w:val="00B0095C"/>
    <w:rsid w:val="00B0189E"/>
    <w:rsid w:val="00B04C20"/>
    <w:rsid w:val="00B07CAC"/>
    <w:rsid w:val="00B1037B"/>
    <w:rsid w:val="00B10449"/>
    <w:rsid w:val="00B10897"/>
    <w:rsid w:val="00B111FF"/>
    <w:rsid w:val="00B12D41"/>
    <w:rsid w:val="00B1308F"/>
    <w:rsid w:val="00B130CD"/>
    <w:rsid w:val="00B14138"/>
    <w:rsid w:val="00B14BAE"/>
    <w:rsid w:val="00B14D25"/>
    <w:rsid w:val="00B1544C"/>
    <w:rsid w:val="00B17802"/>
    <w:rsid w:val="00B20FC1"/>
    <w:rsid w:val="00B22CC2"/>
    <w:rsid w:val="00B236D3"/>
    <w:rsid w:val="00B23876"/>
    <w:rsid w:val="00B24A90"/>
    <w:rsid w:val="00B24AE4"/>
    <w:rsid w:val="00B2629D"/>
    <w:rsid w:val="00B26566"/>
    <w:rsid w:val="00B26C36"/>
    <w:rsid w:val="00B271DB"/>
    <w:rsid w:val="00B33CC3"/>
    <w:rsid w:val="00B34D53"/>
    <w:rsid w:val="00B35ED3"/>
    <w:rsid w:val="00B368C9"/>
    <w:rsid w:val="00B37208"/>
    <w:rsid w:val="00B40CE1"/>
    <w:rsid w:val="00B419B2"/>
    <w:rsid w:val="00B43F74"/>
    <w:rsid w:val="00B442A4"/>
    <w:rsid w:val="00B446DB"/>
    <w:rsid w:val="00B44E97"/>
    <w:rsid w:val="00B457CA"/>
    <w:rsid w:val="00B458D0"/>
    <w:rsid w:val="00B45A7E"/>
    <w:rsid w:val="00B45E8B"/>
    <w:rsid w:val="00B5058F"/>
    <w:rsid w:val="00B5081D"/>
    <w:rsid w:val="00B50952"/>
    <w:rsid w:val="00B513FF"/>
    <w:rsid w:val="00B51566"/>
    <w:rsid w:val="00B51797"/>
    <w:rsid w:val="00B52373"/>
    <w:rsid w:val="00B5241D"/>
    <w:rsid w:val="00B53BF4"/>
    <w:rsid w:val="00B551CA"/>
    <w:rsid w:val="00B5590A"/>
    <w:rsid w:val="00B56548"/>
    <w:rsid w:val="00B568DF"/>
    <w:rsid w:val="00B56BE5"/>
    <w:rsid w:val="00B57FEE"/>
    <w:rsid w:val="00B608AA"/>
    <w:rsid w:val="00B6101C"/>
    <w:rsid w:val="00B61651"/>
    <w:rsid w:val="00B62404"/>
    <w:rsid w:val="00B637BD"/>
    <w:rsid w:val="00B63A90"/>
    <w:rsid w:val="00B64B7E"/>
    <w:rsid w:val="00B64F94"/>
    <w:rsid w:val="00B66089"/>
    <w:rsid w:val="00B66F24"/>
    <w:rsid w:val="00B66F4B"/>
    <w:rsid w:val="00B70222"/>
    <w:rsid w:val="00B742CB"/>
    <w:rsid w:val="00B75967"/>
    <w:rsid w:val="00B75F24"/>
    <w:rsid w:val="00B76A61"/>
    <w:rsid w:val="00B76B91"/>
    <w:rsid w:val="00B8097F"/>
    <w:rsid w:val="00B80A88"/>
    <w:rsid w:val="00B84FF2"/>
    <w:rsid w:val="00B90561"/>
    <w:rsid w:val="00B909A1"/>
    <w:rsid w:val="00B90F01"/>
    <w:rsid w:val="00B92175"/>
    <w:rsid w:val="00B924C0"/>
    <w:rsid w:val="00B928B3"/>
    <w:rsid w:val="00B93486"/>
    <w:rsid w:val="00B93D8E"/>
    <w:rsid w:val="00B943DD"/>
    <w:rsid w:val="00B94CD7"/>
    <w:rsid w:val="00BA215D"/>
    <w:rsid w:val="00BA2E1D"/>
    <w:rsid w:val="00BA37C4"/>
    <w:rsid w:val="00BA38D4"/>
    <w:rsid w:val="00BA3BAC"/>
    <w:rsid w:val="00BA5FA1"/>
    <w:rsid w:val="00BA7F17"/>
    <w:rsid w:val="00BB1268"/>
    <w:rsid w:val="00BB133C"/>
    <w:rsid w:val="00BB1F48"/>
    <w:rsid w:val="00BB2ECD"/>
    <w:rsid w:val="00BB4994"/>
    <w:rsid w:val="00BB4D59"/>
    <w:rsid w:val="00BB75FD"/>
    <w:rsid w:val="00BB7762"/>
    <w:rsid w:val="00BB7997"/>
    <w:rsid w:val="00BC163C"/>
    <w:rsid w:val="00BC19A3"/>
    <w:rsid w:val="00BC1A8D"/>
    <w:rsid w:val="00BC1B2A"/>
    <w:rsid w:val="00BC2B1A"/>
    <w:rsid w:val="00BC2CBF"/>
    <w:rsid w:val="00BC3453"/>
    <w:rsid w:val="00BC39E6"/>
    <w:rsid w:val="00BC493E"/>
    <w:rsid w:val="00BC62C0"/>
    <w:rsid w:val="00BD084B"/>
    <w:rsid w:val="00BD0949"/>
    <w:rsid w:val="00BD1F3F"/>
    <w:rsid w:val="00BD2215"/>
    <w:rsid w:val="00BD2E62"/>
    <w:rsid w:val="00BD3E70"/>
    <w:rsid w:val="00BD4490"/>
    <w:rsid w:val="00BD486B"/>
    <w:rsid w:val="00BD4AC4"/>
    <w:rsid w:val="00BD551B"/>
    <w:rsid w:val="00BD70FA"/>
    <w:rsid w:val="00BD7501"/>
    <w:rsid w:val="00BD7F6C"/>
    <w:rsid w:val="00BE117A"/>
    <w:rsid w:val="00BE19A5"/>
    <w:rsid w:val="00BE4A29"/>
    <w:rsid w:val="00BE623E"/>
    <w:rsid w:val="00BE70E9"/>
    <w:rsid w:val="00BF075D"/>
    <w:rsid w:val="00BF17C5"/>
    <w:rsid w:val="00BF242D"/>
    <w:rsid w:val="00BF27F7"/>
    <w:rsid w:val="00BF303D"/>
    <w:rsid w:val="00BF4138"/>
    <w:rsid w:val="00BF4195"/>
    <w:rsid w:val="00BF7A21"/>
    <w:rsid w:val="00BF7AF8"/>
    <w:rsid w:val="00BF7D54"/>
    <w:rsid w:val="00BF7F0B"/>
    <w:rsid w:val="00C03107"/>
    <w:rsid w:val="00C0320B"/>
    <w:rsid w:val="00C03917"/>
    <w:rsid w:val="00C03940"/>
    <w:rsid w:val="00C07E79"/>
    <w:rsid w:val="00C10E59"/>
    <w:rsid w:val="00C11654"/>
    <w:rsid w:val="00C12A6E"/>
    <w:rsid w:val="00C1320A"/>
    <w:rsid w:val="00C15337"/>
    <w:rsid w:val="00C15501"/>
    <w:rsid w:val="00C15967"/>
    <w:rsid w:val="00C165BA"/>
    <w:rsid w:val="00C21C0C"/>
    <w:rsid w:val="00C23A9B"/>
    <w:rsid w:val="00C24692"/>
    <w:rsid w:val="00C26704"/>
    <w:rsid w:val="00C26D7E"/>
    <w:rsid w:val="00C277B0"/>
    <w:rsid w:val="00C30891"/>
    <w:rsid w:val="00C30A65"/>
    <w:rsid w:val="00C32DE3"/>
    <w:rsid w:val="00C33BE4"/>
    <w:rsid w:val="00C34EE8"/>
    <w:rsid w:val="00C35573"/>
    <w:rsid w:val="00C35641"/>
    <w:rsid w:val="00C36162"/>
    <w:rsid w:val="00C36B75"/>
    <w:rsid w:val="00C37914"/>
    <w:rsid w:val="00C37ABA"/>
    <w:rsid w:val="00C37F99"/>
    <w:rsid w:val="00C40350"/>
    <w:rsid w:val="00C40A30"/>
    <w:rsid w:val="00C41604"/>
    <w:rsid w:val="00C41B41"/>
    <w:rsid w:val="00C41F66"/>
    <w:rsid w:val="00C448B3"/>
    <w:rsid w:val="00C44F46"/>
    <w:rsid w:val="00C45160"/>
    <w:rsid w:val="00C451B8"/>
    <w:rsid w:val="00C45D60"/>
    <w:rsid w:val="00C47787"/>
    <w:rsid w:val="00C50012"/>
    <w:rsid w:val="00C513F9"/>
    <w:rsid w:val="00C51BF3"/>
    <w:rsid w:val="00C530BA"/>
    <w:rsid w:val="00C53DA5"/>
    <w:rsid w:val="00C55C6B"/>
    <w:rsid w:val="00C56054"/>
    <w:rsid w:val="00C56536"/>
    <w:rsid w:val="00C5776B"/>
    <w:rsid w:val="00C60F48"/>
    <w:rsid w:val="00C61D0E"/>
    <w:rsid w:val="00C63A8C"/>
    <w:rsid w:val="00C63FD2"/>
    <w:rsid w:val="00C64A49"/>
    <w:rsid w:val="00C64B8A"/>
    <w:rsid w:val="00C66AFD"/>
    <w:rsid w:val="00C66D1A"/>
    <w:rsid w:val="00C66DAE"/>
    <w:rsid w:val="00C70361"/>
    <w:rsid w:val="00C71BD3"/>
    <w:rsid w:val="00C73921"/>
    <w:rsid w:val="00C742C0"/>
    <w:rsid w:val="00C74E2A"/>
    <w:rsid w:val="00C767BC"/>
    <w:rsid w:val="00C77726"/>
    <w:rsid w:val="00C814BE"/>
    <w:rsid w:val="00C81967"/>
    <w:rsid w:val="00C822F6"/>
    <w:rsid w:val="00C849DA"/>
    <w:rsid w:val="00C86066"/>
    <w:rsid w:val="00C86728"/>
    <w:rsid w:val="00C8683C"/>
    <w:rsid w:val="00C903C4"/>
    <w:rsid w:val="00C90E8C"/>
    <w:rsid w:val="00C92621"/>
    <w:rsid w:val="00C92D6C"/>
    <w:rsid w:val="00C93FAA"/>
    <w:rsid w:val="00C963B4"/>
    <w:rsid w:val="00C96CD2"/>
    <w:rsid w:val="00CA1A98"/>
    <w:rsid w:val="00CA1F37"/>
    <w:rsid w:val="00CA2367"/>
    <w:rsid w:val="00CA27DC"/>
    <w:rsid w:val="00CA40BC"/>
    <w:rsid w:val="00CA4548"/>
    <w:rsid w:val="00CA6C7C"/>
    <w:rsid w:val="00CA7054"/>
    <w:rsid w:val="00CA71A9"/>
    <w:rsid w:val="00CB038A"/>
    <w:rsid w:val="00CB09ED"/>
    <w:rsid w:val="00CB0F38"/>
    <w:rsid w:val="00CB2082"/>
    <w:rsid w:val="00CB2E56"/>
    <w:rsid w:val="00CB500A"/>
    <w:rsid w:val="00CB5642"/>
    <w:rsid w:val="00CB5D10"/>
    <w:rsid w:val="00CB7052"/>
    <w:rsid w:val="00CC0B14"/>
    <w:rsid w:val="00CC0EEA"/>
    <w:rsid w:val="00CC33A1"/>
    <w:rsid w:val="00CC4089"/>
    <w:rsid w:val="00CC48B2"/>
    <w:rsid w:val="00CC5459"/>
    <w:rsid w:val="00CC7EFC"/>
    <w:rsid w:val="00CD0433"/>
    <w:rsid w:val="00CD0493"/>
    <w:rsid w:val="00CD099C"/>
    <w:rsid w:val="00CD0AA0"/>
    <w:rsid w:val="00CD1144"/>
    <w:rsid w:val="00CD13D1"/>
    <w:rsid w:val="00CD1564"/>
    <w:rsid w:val="00CD1656"/>
    <w:rsid w:val="00CD2029"/>
    <w:rsid w:val="00CD2FAE"/>
    <w:rsid w:val="00CD4B8F"/>
    <w:rsid w:val="00CD688F"/>
    <w:rsid w:val="00CD7173"/>
    <w:rsid w:val="00CD72D4"/>
    <w:rsid w:val="00CD78D7"/>
    <w:rsid w:val="00CE1ECC"/>
    <w:rsid w:val="00CE2107"/>
    <w:rsid w:val="00CE2ECE"/>
    <w:rsid w:val="00CE4A21"/>
    <w:rsid w:val="00CE4AD6"/>
    <w:rsid w:val="00CE55EC"/>
    <w:rsid w:val="00CF0538"/>
    <w:rsid w:val="00CF05EE"/>
    <w:rsid w:val="00CF11AB"/>
    <w:rsid w:val="00CF1FB1"/>
    <w:rsid w:val="00CF2832"/>
    <w:rsid w:val="00CF2CE7"/>
    <w:rsid w:val="00CF2DC3"/>
    <w:rsid w:val="00CF43A3"/>
    <w:rsid w:val="00CF566C"/>
    <w:rsid w:val="00CF7721"/>
    <w:rsid w:val="00D02130"/>
    <w:rsid w:val="00D02E05"/>
    <w:rsid w:val="00D06BCA"/>
    <w:rsid w:val="00D07E2F"/>
    <w:rsid w:val="00D12FEE"/>
    <w:rsid w:val="00D13282"/>
    <w:rsid w:val="00D13DD7"/>
    <w:rsid w:val="00D14659"/>
    <w:rsid w:val="00D1512D"/>
    <w:rsid w:val="00D16525"/>
    <w:rsid w:val="00D17947"/>
    <w:rsid w:val="00D17D8C"/>
    <w:rsid w:val="00D20C62"/>
    <w:rsid w:val="00D21767"/>
    <w:rsid w:val="00D22242"/>
    <w:rsid w:val="00D22D54"/>
    <w:rsid w:val="00D23B7E"/>
    <w:rsid w:val="00D23C16"/>
    <w:rsid w:val="00D241F2"/>
    <w:rsid w:val="00D24232"/>
    <w:rsid w:val="00D25BFD"/>
    <w:rsid w:val="00D27D3D"/>
    <w:rsid w:val="00D300B3"/>
    <w:rsid w:val="00D322F2"/>
    <w:rsid w:val="00D32C39"/>
    <w:rsid w:val="00D33DF6"/>
    <w:rsid w:val="00D33F0A"/>
    <w:rsid w:val="00D344B4"/>
    <w:rsid w:val="00D34CEB"/>
    <w:rsid w:val="00D34EEE"/>
    <w:rsid w:val="00D34F4F"/>
    <w:rsid w:val="00D370C7"/>
    <w:rsid w:val="00D37318"/>
    <w:rsid w:val="00D37D89"/>
    <w:rsid w:val="00D40127"/>
    <w:rsid w:val="00D411AA"/>
    <w:rsid w:val="00D415AB"/>
    <w:rsid w:val="00D4228F"/>
    <w:rsid w:val="00D42874"/>
    <w:rsid w:val="00D4314A"/>
    <w:rsid w:val="00D4509F"/>
    <w:rsid w:val="00D46112"/>
    <w:rsid w:val="00D511B8"/>
    <w:rsid w:val="00D516D4"/>
    <w:rsid w:val="00D5234D"/>
    <w:rsid w:val="00D526BB"/>
    <w:rsid w:val="00D526C1"/>
    <w:rsid w:val="00D52DF1"/>
    <w:rsid w:val="00D52E29"/>
    <w:rsid w:val="00D530C8"/>
    <w:rsid w:val="00D5546B"/>
    <w:rsid w:val="00D557B7"/>
    <w:rsid w:val="00D5664E"/>
    <w:rsid w:val="00D57580"/>
    <w:rsid w:val="00D60D53"/>
    <w:rsid w:val="00D613D6"/>
    <w:rsid w:val="00D613FE"/>
    <w:rsid w:val="00D63055"/>
    <w:rsid w:val="00D631D1"/>
    <w:rsid w:val="00D64133"/>
    <w:rsid w:val="00D70EC9"/>
    <w:rsid w:val="00D712EA"/>
    <w:rsid w:val="00D7381D"/>
    <w:rsid w:val="00D80BF5"/>
    <w:rsid w:val="00D813DA"/>
    <w:rsid w:val="00D8239C"/>
    <w:rsid w:val="00D82541"/>
    <w:rsid w:val="00D84816"/>
    <w:rsid w:val="00D84D18"/>
    <w:rsid w:val="00D853E7"/>
    <w:rsid w:val="00D86803"/>
    <w:rsid w:val="00D91A9A"/>
    <w:rsid w:val="00D94913"/>
    <w:rsid w:val="00D95427"/>
    <w:rsid w:val="00D95663"/>
    <w:rsid w:val="00D95A08"/>
    <w:rsid w:val="00D96ABA"/>
    <w:rsid w:val="00D97BDE"/>
    <w:rsid w:val="00DA0918"/>
    <w:rsid w:val="00DA0DC0"/>
    <w:rsid w:val="00DA2455"/>
    <w:rsid w:val="00DA41AE"/>
    <w:rsid w:val="00DA4794"/>
    <w:rsid w:val="00DB02CE"/>
    <w:rsid w:val="00DB04EC"/>
    <w:rsid w:val="00DB1B95"/>
    <w:rsid w:val="00DB3851"/>
    <w:rsid w:val="00DB3E55"/>
    <w:rsid w:val="00DB4A0A"/>
    <w:rsid w:val="00DB4C4C"/>
    <w:rsid w:val="00DB530A"/>
    <w:rsid w:val="00DB637B"/>
    <w:rsid w:val="00DB6CA8"/>
    <w:rsid w:val="00DB71EF"/>
    <w:rsid w:val="00DB76F0"/>
    <w:rsid w:val="00DC05B2"/>
    <w:rsid w:val="00DC092C"/>
    <w:rsid w:val="00DC1B22"/>
    <w:rsid w:val="00DC2216"/>
    <w:rsid w:val="00DC2D5C"/>
    <w:rsid w:val="00DC4366"/>
    <w:rsid w:val="00DC58AC"/>
    <w:rsid w:val="00DC6946"/>
    <w:rsid w:val="00DC6FB9"/>
    <w:rsid w:val="00DC7133"/>
    <w:rsid w:val="00DC72F8"/>
    <w:rsid w:val="00DC7314"/>
    <w:rsid w:val="00DD265B"/>
    <w:rsid w:val="00DD2DB9"/>
    <w:rsid w:val="00DD6132"/>
    <w:rsid w:val="00DE2250"/>
    <w:rsid w:val="00DE28C3"/>
    <w:rsid w:val="00DE2965"/>
    <w:rsid w:val="00DE317F"/>
    <w:rsid w:val="00DE3651"/>
    <w:rsid w:val="00DE3DE2"/>
    <w:rsid w:val="00DE3EBB"/>
    <w:rsid w:val="00DE40FD"/>
    <w:rsid w:val="00DE4B35"/>
    <w:rsid w:val="00DE5801"/>
    <w:rsid w:val="00DE5BB2"/>
    <w:rsid w:val="00DE5F07"/>
    <w:rsid w:val="00DE5F08"/>
    <w:rsid w:val="00DF0C60"/>
    <w:rsid w:val="00DF4E02"/>
    <w:rsid w:val="00DF5A0B"/>
    <w:rsid w:val="00DF5CF0"/>
    <w:rsid w:val="00DF6222"/>
    <w:rsid w:val="00E0038B"/>
    <w:rsid w:val="00E018DC"/>
    <w:rsid w:val="00E01B15"/>
    <w:rsid w:val="00E02642"/>
    <w:rsid w:val="00E03592"/>
    <w:rsid w:val="00E06B37"/>
    <w:rsid w:val="00E06BE6"/>
    <w:rsid w:val="00E07052"/>
    <w:rsid w:val="00E10CCA"/>
    <w:rsid w:val="00E12438"/>
    <w:rsid w:val="00E125D0"/>
    <w:rsid w:val="00E12F49"/>
    <w:rsid w:val="00E13B99"/>
    <w:rsid w:val="00E13C93"/>
    <w:rsid w:val="00E13DDA"/>
    <w:rsid w:val="00E1604D"/>
    <w:rsid w:val="00E16C73"/>
    <w:rsid w:val="00E16CC4"/>
    <w:rsid w:val="00E1796D"/>
    <w:rsid w:val="00E17BF5"/>
    <w:rsid w:val="00E215BC"/>
    <w:rsid w:val="00E221E7"/>
    <w:rsid w:val="00E23427"/>
    <w:rsid w:val="00E23724"/>
    <w:rsid w:val="00E25965"/>
    <w:rsid w:val="00E2669C"/>
    <w:rsid w:val="00E277B8"/>
    <w:rsid w:val="00E277FD"/>
    <w:rsid w:val="00E32609"/>
    <w:rsid w:val="00E33E33"/>
    <w:rsid w:val="00E3452E"/>
    <w:rsid w:val="00E34B80"/>
    <w:rsid w:val="00E35C71"/>
    <w:rsid w:val="00E36A1B"/>
    <w:rsid w:val="00E40C5E"/>
    <w:rsid w:val="00E40CE8"/>
    <w:rsid w:val="00E42381"/>
    <w:rsid w:val="00E427BE"/>
    <w:rsid w:val="00E4332F"/>
    <w:rsid w:val="00E435E6"/>
    <w:rsid w:val="00E4439D"/>
    <w:rsid w:val="00E45D60"/>
    <w:rsid w:val="00E46AE2"/>
    <w:rsid w:val="00E474A0"/>
    <w:rsid w:val="00E47646"/>
    <w:rsid w:val="00E5094F"/>
    <w:rsid w:val="00E52D1F"/>
    <w:rsid w:val="00E53157"/>
    <w:rsid w:val="00E53595"/>
    <w:rsid w:val="00E53938"/>
    <w:rsid w:val="00E54022"/>
    <w:rsid w:val="00E54565"/>
    <w:rsid w:val="00E54A52"/>
    <w:rsid w:val="00E55790"/>
    <w:rsid w:val="00E557D3"/>
    <w:rsid w:val="00E55F65"/>
    <w:rsid w:val="00E56349"/>
    <w:rsid w:val="00E5666E"/>
    <w:rsid w:val="00E6477B"/>
    <w:rsid w:val="00E64AF9"/>
    <w:rsid w:val="00E673BF"/>
    <w:rsid w:val="00E67498"/>
    <w:rsid w:val="00E7002B"/>
    <w:rsid w:val="00E708BF"/>
    <w:rsid w:val="00E710D6"/>
    <w:rsid w:val="00E71332"/>
    <w:rsid w:val="00E73049"/>
    <w:rsid w:val="00E73B45"/>
    <w:rsid w:val="00E74958"/>
    <w:rsid w:val="00E754CC"/>
    <w:rsid w:val="00E75BBA"/>
    <w:rsid w:val="00E763D9"/>
    <w:rsid w:val="00E77018"/>
    <w:rsid w:val="00E771D1"/>
    <w:rsid w:val="00E81D18"/>
    <w:rsid w:val="00E81D91"/>
    <w:rsid w:val="00E827AA"/>
    <w:rsid w:val="00E838EC"/>
    <w:rsid w:val="00E83BBC"/>
    <w:rsid w:val="00E84396"/>
    <w:rsid w:val="00E84480"/>
    <w:rsid w:val="00E851AB"/>
    <w:rsid w:val="00E854CD"/>
    <w:rsid w:val="00E86395"/>
    <w:rsid w:val="00E87FF4"/>
    <w:rsid w:val="00E90C0C"/>
    <w:rsid w:val="00E91649"/>
    <w:rsid w:val="00E917E1"/>
    <w:rsid w:val="00E9305A"/>
    <w:rsid w:val="00E9323C"/>
    <w:rsid w:val="00E934B6"/>
    <w:rsid w:val="00E945B9"/>
    <w:rsid w:val="00E949C1"/>
    <w:rsid w:val="00E9781C"/>
    <w:rsid w:val="00E97848"/>
    <w:rsid w:val="00EA07EA"/>
    <w:rsid w:val="00EA0C37"/>
    <w:rsid w:val="00EA1A5F"/>
    <w:rsid w:val="00EA1B9D"/>
    <w:rsid w:val="00EA23C3"/>
    <w:rsid w:val="00EA39CE"/>
    <w:rsid w:val="00EA5626"/>
    <w:rsid w:val="00EA5688"/>
    <w:rsid w:val="00EA67D8"/>
    <w:rsid w:val="00EA6F3C"/>
    <w:rsid w:val="00EA7220"/>
    <w:rsid w:val="00EB0889"/>
    <w:rsid w:val="00EB0DF7"/>
    <w:rsid w:val="00EB123C"/>
    <w:rsid w:val="00EB153D"/>
    <w:rsid w:val="00EB1D12"/>
    <w:rsid w:val="00EB1EB3"/>
    <w:rsid w:val="00EB1EE6"/>
    <w:rsid w:val="00EB20ED"/>
    <w:rsid w:val="00EB5241"/>
    <w:rsid w:val="00EB5C18"/>
    <w:rsid w:val="00EB6028"/>
    <w:rsid w:val="00EB63BB"/>
    <w:rsid w:val="00EC0A1B"/>
    <w:rsid w:val="00EC100F"/>
    <w:rsid w:val="00EC28F0"/>
    <w:rsid w:val="00EC3264"/>
    <w:rsid w:val="00EC46B2"/>
    <w:rsid w:val="00EC4FCD"/>
    <w:rsid w:val="00EC5110"/>
    <w:rsid w:val="00EC60F9"/>
    <w:rsid w:val="00ED0D15"/>
    <w:rsid w:val="00ED1431"/>
    <w:rsid w:val="00ED22E3"/>
    <w:rsid w:val="00ED25EE"/>
    <w:rsid w:val="00ED2718"/>
    <w:rsid w:val="00ED27FC"/>
    <w:rsid w:val="00ED2FBB"/>
    <w:rsid w:val="00ED39E1"/>
    <w:rsid w:val="00ED3F25"/>
    <w:rsid w:val="00ED4206"/>
    <w:rsid w:val="00ED4A15"/>
    <w:rsid w:val="00ED4CCF"/>
    <w:rsid w:val="00ED66BE"/>
    <w:rsid w:val="00ED71FC"/>
    <w:rsid w:val="00ED747D"/>
    <w:rsid w:val="00ED7A5E"/>
    <w:rsid w:val="00ED7D66"/>
    <w:rsid w:val="00EE2F40"/>
    <w:rsid w:val="00EE3325"/>
    <w:rsid w:val="00EE35E7"/>
    <w:rsid w:val="00EE5714"/>
    <w:rsid w:val="00EE69BD"/>
    <w:rsid w:val="00EE6B0E"/>
    <w:rsid w:val="00EF019A"/>
    <w:rsid w:val="00EF1909"/>
    <w:rsid w:val="00EF212D"/>
    <w:rsid w:val="00EF2A53"/>
    <w:rsid w:val="00EF2B84"/>
    <w:rsid w:val="00EF4921"/>
    <w:rsid w:val="00EF4A50"/>
    <w:rsid w:val="00EF6B7D"/>
    <w:rsid w:val="00EF71AA"/>
    <w:rsid w:val="00EF7AAF"/>
    <w:rsid w:val="00F007D3"/>
    <w:rsid w:val="00F02A62"/>
    <w:rsid w:val="00F02F22"/>
    <w:rsid w:val="00F065D0"/>
    <w:rsid w:val="00F07BF5"/>
    <w:rsid w:val="00F07CB7"/>
    <w:rsid w:val="00F10E76"/>
    <w:rsid w:val="00F10FEF"/>
    <w:rsid w:val="00F11784"/>
    <w:rsid w:val="00F119F0"/>
    <w:rsid w:val="00F1337C"/>
    <w:rsid w:val="00F142FC"/>
    <w:rsid w:val="00F14D07"/>
    <w:rsid w:val="00F1639F"/>
    <w:rsid w:val="00F16570"/>
    <w:rsid w:val="00F17EE8"/>
    <w:rsid w:val="00F2040E"/>
    <w:rsid w:val="00F210E7"/>
    <w:rsid w:val="00F22743"/>
    <w:rsid w:val="00F2343C"/>
    <w:rsid w:val="00F24192"/>
    <w:rsid w:val="00F25085"/>
    <w:rsid w:val="00F25B71"/>
    <w:rsid w:val="00F2636A"/>
    <w:rsid w:val="00F26392"/>
    <w:rsid w:val="00F303B9"/>
    <w:rsid w:val="00F31108"/>
    <w:rsid w:val="00F31A18"/>
    <w:rsid w:val="00F33282"/>
    <w:rsid w:val="00F36081"/>
    <w:rsid w:val="00F3640E"/>
    <w:rsid w:val="00F375DC"/>
    <w:rsid w:val="00F37742"/>
    <w:rsid w:val="00F37795"/>
    <w:rsid w:val="00F377F0"/>
    <w:rsid w:val="00F43130"/>
    <w:rsid w:val="00F45D4B"/>
    <w:rsid w:val="00F461DE"/>
    <w:rsid w:val="00F50789"/>
    <w:rsid w:val="00F50D7D"/>
    <w:rsid w:val="00F52CBD"/>
    <w:rsid w:val="00F53025"/>
    <w:rsid w:val="00F53257"/>
    <w:rsid w:val="00F53D88"/>
    <w:rsid w:val="00F54650"/>
    <w:rsid w:val="00F5466C"/>
    <w:rsid w:val="00F5520C"/>
    <w:rsid w:val="00F55A03"/>
    <w:rsid w:val="00F55BB2"/>
    <w:rsid w:val="00F61057"/>
    <w:rsid w:val="00F61091"/>
    <w:rsid w:val="00F6142C"/>
    <w:rsid w:val="00F61997"/>
    <w:rsid w:val="00F6321C"/>
    <w:rsid w:val="00F6344E"/>
    <w:rsid w:val="00F64279"/>
    <w:rsid w:val="00F6440B"/>
    <w:rsid w:val="00F64582"/>
    <w:rsid w:val="00F64B43"/>
    <w:rsid w:val="00F64FE5"/>
    <w:rsid w:val="00F6570F"/>
    <w:rsid w:val="00F66370"/>
    <w:rsid w:val="00F67BD9"/>
    <w:rsid w:val="00F70E0A"/>
    <w:rsid w:val="00F733E9"/>
    <w:rsid w:val="00F735BC"/>
    <w:rsid w:val="00F73AA4"/>
    <w:rsid w:val="00F73B60"/>
    <w:rsid w:val="00F73CFC"/>
    <w:rsid w:val="00F74CDD"/>
    <w:rsid w:val="00F75408"/>
    <w:rsid w:val="00F76077"/>
    <w:rsid w:val="00F76C84"/>
    <w:rsid w:val="00F778CD"/>
    <w:rsid w:val="00F828B0"/>
    <w:rsid w:val="00F82B83"/>
    <w:rsid w:val="00F84554"/>
    <w:rsid w:val="00F87FDA"/>
    <w:rsid w:val="00F90D7B"/>
    <w:rsid w:val="00F91016"/>
    <w:rsid w:val="00F9123C"/>
    <w:rsid w:val="00F92436"/>
    <w:rsid w:val="00F926EB"/>
    <w:rsid w:val="00F927AD"/>
    <w:rsid w:val="00F96677"/>
    <w:rsid w:val="00F97F3B"/>
    <w:rsid w:val="00FA0401"/>
    <w:rsid w:val="00FA042C"/>
    <w:rsid w:val="00FA1FD5"/>
    <w:rsid w:val="00FA27CD"/>
    <w:rsid w:val="00FA4761"/>
    <w:rsid w:val="00FA4B2D"/>
    <w:rsid w:val="00FA5105"/>
    <w:rsid w:val="00FA57DA"/>
    <w:rsid w:val="00FA64BE"/>
    <w:rsid w:val="00FB03C9"/>
    <w:rsid w:val="00FB1983"/>
    <w:rsid w:val="00FB26E8"/>
    <w:rsid w:val="00FB58E7"/>
    <w:rsid w:val="00FB62C3"/>
    <w:rsid w:val="00FB7745"/>
    <w:rsid w:val="00FC29BA"/>
    <w:rsid w:val="00FC2A6F"/>
    <w:rsid w:val="00FC2FD3"/>
    <w:rsid w:val="00FC38BE"/>
    <w:rsid w:val="00FC3E88"/>
    <w:rsid w:val="00FC3EF7"/>
    <w:rsid w:val="00FC429A"/>
    <w:rsid w:val="00FC45C2"/>
    <w:rsid w:val="00FC46BB"/>
    <w:rsid w:val="00FC654A"/>
    <w:rsid w:val="00FC66C4"/>
    <w:rsid w:val="00FC6C10"/>
    <w:rsid w:val="00FC719F"/>
    <w:rsid w:val="00FC77BD"/>
    <w:rsid w:val="00FC7ADF"/>
    <w:rsid w:val="00FD26CC"/>
    <w:rsid w:val="00FD2B59"/>
    <w:rsid w:val="00FD3D1B"/>
    <w:rsid w:val="00FD42EB"/>
    <w:rsid w:val="00FD4731"/>
    <w:rsid w:val="00FD6453"/>
    <w:rsid w:val="00FD6C47"/>
    <w:rsid w:val="00FE14BD"/>
    <w:rsid w:val="00FE180D"/>
    <w:rsid w:val="00FE1D04"/>
    <w:rsid w:val="00FE1EF5"/>
    <w:rsid w:val="00FE29EA"/>
    <w:rsid w:val="00FE2F1E"/>
    <w:rsid w:val="00FE3E57"/>
    <w:rsid w:val="00FE4067"/>
    <w:rsid w:val="00FE5132"/>
    <w:rsid w:val="00FE5C11"/>
    <w:rsid w:val="00FE6067"/>
    <w:rsid w:val="00FE7852"/>
    <w:rsid w:val="00FE7EDB"/>
    <w:rsid w:val="00FF02C0"/>
    <w:rsid w:val="00FF043B"/>
    <w:rsid w:val="00FF0671"/>
    <w:rsid w:val="00FF0C4F"/>
    <w:rsid w:val="00FF1280"/>
    <w:rsid w:val="00FF13EB"/>
    <w:rsid w:val="00FF14CC"/>
    <w:rsid w:val="00FF2823"/>
    <w:rsid w:val="00FF2F98"/>
    <w:rsid w:val="00FF30EA"/>
    <w:rsid w:val="00FF43C9"/>
    <w:rsid w:val="00FF4528"/>
    <w:rsid w:val="00FF5374"/>
    <w:rsid w:val="00FF57ED"/>
    <w:rsid w:val="00FF637A"/>
    <w:rsid w:val="00FF668D"/>
    <w:rsid w:val="00FF6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367"/>
    <w:pPr>
      <w:overflowPunct w:val="0"/>
      <w:autoSpaceDE w:val="0"/>
      <w:autoSpaceDN w:val="0"/>
      <w:adjustRightInd w:val="0"/>
      <w:jc w:val="both"/>
      <w:textAlignment w:val="baseline"/>
    </w:pPr>
    <w:rPr>
      <w:sz w:val="18"/>
      <w:lang w:eastAsia="en-US"/>
    </w:rPr>
  </w:style>
  <w:style w:type="paragraph" w:styleId="Heading1">
    <w:name w:val="heading 1"/>
    <w:basedOn w:val="Normal"/>
    <w:next w:val="Normal"/>
    <w:qFormat/>
    <w:pPr>
      <w:keepNext/>
      <w:numPr>
        <w:numId w:val="1"/>
      </w:numPr>
      <w:spacing w:before="240" w:after="130"/>
      <w:ind w:left="709" w:hanging="709"/>
      <w:jc w:val="left"/>
      <w:outlineLvl w:val="0"/>
    </w:pPr>
    <w:rPr>
      <w:b/>
      <w:sz w:val="20"/>
    </w:rPr>
  </w:style>
  <w:style w:type="paragraph" w:styleId="Heading2">
    <w:name w:val="heading 2"/>
    <w:basedOn w:val="Normal"/>
    <w:next w:val="Heading3"/>
    <w:qFormat/>
    <w:pPr>
      <w:keepNext/>
      <w:numPr>
        <w:ilvl w:val="1"/>
        <w:numId w:val="1"/>
      </w:numPr>
      <w:spacing w:before="260" w:after="40" w:line="360" w:lineRule="exact"/>
      <w:outlineLvl w:val="1"/>
    </w:pPr>
    <w:rPr>
      <w:b/>
      <w:sz w:val="26"/>
    </w:rPr>
  </w:style>
  <w:style w:type="paragraph" w:styleId="Heading3">
    <w:name w:val="heading 3"/>
    <w:basedOn w:val="Normal"/>
    <w:next w:val="Normal"/>
    <w:qFormat/>
    <w:pPr>
      <w:keepNext/>
      <w:numPr>
        <w:ilvl w:val="2"/>
        <w:numId w:val="1"/>
      </w:numPr>
      <w:spacing w:before="260" w:line="360" w:lineRule="exact"/>
      <w:outlineLvl w:val="2"/>
    </w:pPr>
    <w:rPr>
      <w:b/>
      <w:i/>
      <w:sz w:val="22"/>
    </w:rPr>
  </w:style>
  <w:style w:type="paragraph" w:styleId="Heading4">
    <w:name w:val="heading 4"/>
    <w:basedOn w:val="Normal"/>
    <w:next w:val="Normal"/>
    <w:qFormat/>
    <w:pPr>
      <w:keepNext/>
      <w:numPr>
        <w:ilvl w:val="3"/>
        <w:numId w:val="1"/>
      </w:numPr>
      <w:spacing w:before="260" w:line="360" w:lineRule="exact"/>
      <w:outlineLvl w:val="3"/>
    </w:pPr>
    <w:rPr>
      <w:i/>
      <w:sz w:val="22"/>
    </w:rPr>
  </w:style>
  <w:style w:type="paragraph" w:styleId="Heading5">
    <w:name w:val="heading 5"/>
    <w:basedOn w:val="Normal"/>
    <w:qFormat/>
    <w:pPr>
      <w:numPr>
        <w:ilvl w:val="4"/>
        <w:numId w:val="1"/>
      </w:numPr>
      <w:spacing w:before="130"/>
      <w:outlineLvl w:val="4"/>
    </w:pPr>
    <w:rPr>
      <w:sz w:val="22"/>
    </w:rPr>
  </w:style>
  <w:style w:type="paragraph" w:styleId="Heading6">
    <w:name w:val="heading 6"/>
    <w:basedOn w:val="Normal"/>
    <w:next w:val="Normal"/>
    <w:qFormat/>
    <w:pPr>
      <w:numPr>
        <w:ilvl w:val="5"/>
        <w:numId w:val="1"/>
      </w:numPr>
      <w:spacing w:before="240" w:after="60"/>
      <w:outlineLvl w:val="5"/>
    </w:pPr>
    <w:rPr>
      <w:sz w:val="22"/>
    </w:rPr>
  </w:style>
  <w:style w:type="paragraph" w:styleId="Heading7">
    <w:name w:val="heading 7"/>
    <w:basedOn w:val="Normal"/>
    <w:next w:val="Normal"/>
    <w:qFormat/>
    <w:pPr>
      <w:numPr>
        <w:ilvl w:val="6"/>
        <w:numId w:val="1"/>
      </w:numPr>
      <w:spacing w:before="240" w:after="60"/>
      <w:outlineLvl w:val="6"/>
    </w:pPr>
    <w:rPr>
      <w:sz w:val="22"/>
    </w:rPr>
  </w:style>
  <w:style w:type="paragraph" w:styleId="Heading8">
    <w:name w:val="heading 8"/>
    <w:basedOn w:val="Normal"/>
    <w:next w:val="Normal"/>
    <w:qFormat/>
    <w:pPr>
      <w:numPr>
        <w:ilvl w:val="7"/>
        <w:numId w:val="1"/>
      </w:numPr>
      <w:spacing w:before="240" w:after="60"/>
      <w:outlineLvl w:val="7"/>
    </w:pPr>
    <w:rPr>
      <w:sz w:val="22"/>
    </w:rPr>
  </w:style>
  <w:style w:type="paragraph" w:styleId="Heading9">
    <w:name w:val="heading 9"/>
    <w:basedOn w:val="Normal"/>
    <w:next w:val="Normal"/>
    <w:qFormat/>
    <w:pPr>
      <w:numPr>
        <w:ilvl w:val="8"/>
        <w:numId w:val="1"/>
      </w:num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customStyle="1" w:styleId="Bracketalign">
    <w:name w:val="Bracketalign"/>
    <w:basedOn w:val="Normal"/>
  </w:style>
  <w:style w:type="paragraph" w:customStyle="1" w:styleId="Bullet">
    <w:name w:val="Bullet"/>
    <w:basedOn w:val="Normal"/>
    <w:link w:val="BulletChar"/>
    <w:uiPriority w:val="1"/>
    <w:pPr>
      <w:numPr>
        <w:numId w:val="3"/>
      </w:numPr>
      <w:tabs>
        <w:tab w:val="left" w:pos="284"/>
      </w:tabs>
      <w:spacing w:before="130"/>
    </w:pPr>
  </w:style>
  <w:style w:type="paragraph" w:styleId="Caption">
    <w:name w:val="caption"/>
    <w:basedOn w:val="Normal"/>
    <w:next w:val="Normal"/>
    <w:qFormat/>
    <w:pPr>
      <w:keepNext/>
      <w:keepLines/>
      <w:spacing w:before="130" w:after="130"/>
    </w:pPr>
    <w:rPr>
      <w:b/>
      <w:sz w:val="22"/>
    </w:rPr>
  </w:style>
  <w:style w:type="paragraph" w:customStyle="1" w:styleId="ContentsHeader">
    <w:name w:val="Contents Header"/>
    <w:basedOn w:val="Heading1"/>
    <w:next w:val="TOC1"/>
    <w:pPr>
      <w:numPr>
        <w:numId w:val="0"/>
      </w:numPr>
      <w:spacing w:before="0" w:after="0"/>
      <w:ind w:left="709" w:hanging="709"/>
      <w:outlineLvl w:val="9"/>
    </w:pPr>
    <w:rPr>
      <w:b w:val="0"/>
      <w:sz w:val="36"/>
    </w:rPr>
  </w:style>
  <w:style w:type="paragraph" w:styleId="TOC1">
    <w:name w:val="toc 1"/>
    <w:basedOn w:val="Normal"/>
    <w:next w:val="Normal"/>
    <w:semiHidden/>
    <w:pPr>
      <w:widowControl w:val="0"/>
      <w:tabs>
        <w:tab w:val="right" w:pos="9355"/>
      </w:tabs>
      <w:spacing w:line="360" w:lineRule="auto"/>
      <w:jc w:val="left"/>
    </w:pPr>
    <w:rPr>
      <w:sz w:val="20"/>
    </w:rPr>
  </w:style>
  <w:style w:type="character" w:customStyle="1" w:styleId="ContentsPageNumber">
    <w:name w:val="Contents Page Number"/>
    <w:rPr>
      <w:rFonts w:ascii="Times New Roman" w:hAnsi="Times New Roman"/>
      <w:sz w:val="22"/>
    </w:rPr>
  </w:style>
  <w:style w:type="paragraph" w:customStyle="1" w:styleId="CompanyTitle">
    <w:name w:val="Company_Title"/>
    <w:next w:val="Normal"/>
    <w:pPr>
      <w:framePr w:w="5670" w:h="2948" w:hRule="exact" w:vSpace="181" w:wrap="notBeside" w:vAnchor="page" w:hAnchor="page" w:x="3171" w:y="5671" w:anchorLock="1"/>
      <w:widowControl w:val="0"/>
      <w:overflowPunct w:val="0"/>
      <w:autoSpaceDE w:val="0"/>
      <w:autoSpaceDN w:val="0"/>
      <w:adjustRightInd w:val="0"/>
      <w:ind w:left="113"/>
      <w:textAlignment w:val="baseline"/>
    </w:pPr>
    <w:rPr>
      <w:rFonts w:ascii="Tms Rmn" w:hAnsi="Tms Rmn"/>
      <w:b/>
      <w:noProof/>
      <w:spacing w:val="-4"/>
      <w:sz w:val="26"/>
      <w:lang w:eastAsia="en-US"/>
    </w:rPr>
  </w:style>
  <w:style w:type="paragraph" w:customStyle="1" w:styleId="CoverInformation">
    <w:name w:val="Cover Information"/>
    <w:basedOn w:val="Normal"/>
    <w:pPr>
      <w:framePr w:w="4536" w:hSpace="180" w:vSpace="180" w:wrap="auto" w:vAnchor="page" w:hAnchor="page" w:x="3601" w:y="14176"/>
      <w:spacing w:line="260" w:lineRule="exact"/>
      <w:ind w:left="284"/>
    </w:pPr>
    <w:rPr>
      <w:sz w:val="22"/>
    </w:rPr>
  </w:style>
  <w:style w:type="paragraph" w:customStyle="1" w:styleId="CoverTitle">
    <w:name w:val="Cover Title"/>
    <w:basedOn w:val="Normal"/>
    <w:pPr>
      <w:spacing w:line="440" w:lineRule="exact"/>
    </w:pPr>
    <w:rPr>
      <w:sz w:val="36"/>
    </w:rPr>
  </w:style>
  <w:style w:type="paragraph" w:customStyle="1" w:styleId="Denomination">
    <w:name w:val="Denomination"/>
    <w:basedOn w:val="Normal"/>
    <w:pPr>
      <w:jc w:val="right"/>
    </w:pPr>
  </w:style>
  <w:style w:type="paragraph" w:customStyle="1" w:styleId="Double">
    <w:name w:val="Double"/>
    <w:basedOn w:val="Normal"/>
    <w:pPr>
      <w:spacing w:after="130"/>
    </w:pPr>
    <w:rPr>
      <w:u w:val="double"/>
    </w:rPr>
  </w:style>
  <w:style w:type="character" w:styleId="EndnoteReference">
    <w:name w:val="endnote reference"/>
    <w:semiHidden/>
    <w:rPr>
      <w:color w:val="0000FF"/>
      <w:vertAlign w:val="superscript"/>
    </w:rPr>
  </w:style>
  <w:style w:type="paragraph" w:styleId="EndnoteText">
    <w:name w:val="endnote text"/>
    <w:basedOn w:val="Normal"/>
    <w:semiHidden/>
    <w:pPr>
      <w:spacing w:after="180"/>
    </w:pPr>
  </w:style>
  <w:style w:type="paragraph" w:styleId="Footer">
    <w:name w:val="footer"/>
    <w:basedOn w:val="Normal"/>
    <w:next w:val="Normal"/>
    <w:pPr>
      <w:tabs>
        <w:tab w:val="center" w:pos="4819"/>
        <w:tab w:val="right" w:pos="9071"/>
      </w:tabs>
    </w:pPr>
    <w:rPr>
      <w:sz w:val="22"/>
    </w:rPr>
  </w:style>
  <w:style w:type="character" w:styleId="FootnoteReference">
    <w:name w:val="footnote reference"/>
    <w:semiHidden/>
    <w:rPr>
      <w:color w:val="FF0000"/>
      <w:vertAlign w:val="superscript"/>
    </w:rPr>
  </w:style>
  <w:style w:type="paragraph" w:styleId="FootnoteText">
    <w:name w:val="footnote text"/>
    <w:basedOn w:val="Normal"/>
    <w:semiHidden/>
    <w:pPr>
      <w:spacing w:after="180"/>
    </w:pPr>
  </w:style>
  <w:style w:type="paragraph" w:customStyle="1" w:styleId="Graphic">
    <w:name w:val="Graphic"/>
    <w:basedOn w:val="Normal"/>
    <w:pPr>
      <w:keepNext/>
      <w:spacing w:before="130" w:after="130"/>
      <w:jc w:val="center"/>
    </w:pPr>
    <w:rPr>
      <w:sz w:val="22"/>
    </w:rPr>
  </w:style>
  <w:style w:type="paragraph" w:styleId="Header">
    <w:name w:val="header"/>
    <w:basedOn w:val="Normal"/>
    <w:next w:val="Normal"/>
    <w:link w:val="HeaderChar"/>
    <w:uiPriority w:val="99"/>
    <w:pPr>
      <w:jc w:val="right"/>
    </w:pPr>
    <w:rPr>
      <w:i/>
    </w:rPr>
  </w:style>
  <w:style w:type="paragraph" w:styleId="Index1">
    <w:name w:val="index 1"/>
    <w:basedOn w:val="Normal"/>
    <w:next w:val="Index2"/>
    <w:semiHidden/>
    <w:pPr>
      <w:spacing w:before="200"/>
      <w:ind w:left="851"/>
    </w:pPr>
    <w:rPr>
      <w:b/>
      <w:sz w:val="22"/>
    </w:rPr>
  </w:style>
  <w:style w:type="paragraph" w:styleId="Index2">
    <w:name w:val="index 2"/>
    <w:basedOn w:val="Normal"/>
    <w:semiHidden/>
    <w:pPr>
      <w:ind w:left="1520"/>
    </w:pPr>
    <w:rPr>
      <w:sz w:val="22"/>
    </w:rPr>
  </w:style>
  <w:style w:type="paragraph" w:customStyle="1" w:styleId="NoDecAlign">
    <w:name w:val="NoDecAlign"/>
    <w:basedOn w:val="Normal"/>
    <w:pPr>
      <w:tabs>
        <w:tab w:val="decimal" w:pos="1021"/>
      </w:tabs>
    </w:pPr>
  </w:style>
  <w:style w:type="paragraph" w:customStyle="1" w:styleId="Numbering">
    <w:name w:val="Numbering"/>
    <w:basedOn w:val="Normal"/>
    <w:pPr>
      <w:spacing w:after="130" w:line="260" w:lineRule="exact"/>
      <w:ind w:left="284" w:hanging="284"/>
    </w:pPr>
    <w:rPr>
      <w:sz w:val="22"/>
    </w:rPr>
  </w:style>
  <w:style w:type="paragraph" w:customStyle="1" w:styleId="OneDecAlign">
    <w:name w:val="OneDecAlign"/>
    <w:basedOn w:val="Normal"/>
    <w:pPr>
      <w:tabs>
        <w:tab w:val="decimal" w:pos="879"/>
      </w:tabs>
    </w:pPr>
  </w:style>
  <w:style w:type="character" w:styleId="PageNumber">
    <w:name w:val="page number"/>
    <w:basedOn w:val="DefaultParagraphFont"/>
  </w:style>
  <w:style w:type="paragraph" w:customStyle="1" w:styleId="PageNumber1">
    <w:name w:val="Page Number1"/>
    <w:basedOn w:val="Normal"/>
    <w:pPr>
      <w:tabs>
        <w:tab w:val="center" w:pos="4320"/>
        <w:tab w:val="right" w:pos="8640"/>
      </w:tabs>
      <w:jc w:val="center"/>
    </w:pPr>
  </w:style>
  <w:style w:type="paragraph" w:customStyle="1" w:styleId="RunningTitle">
    <w:name w:val="Running Title"/>
    <w:basedOn w:val="Normal"/>
    <w:pPr>
      <w:spacing w:line="220" w:lineRule="exact"/>
      <w:jc w:val="right"/>
    </w:pPr>
    <w:rPr>
      <w:i/>
    </w:rPr>
  </w:style>
  <w:style w:type="paragraph" w:customStyle="1" w:styleId="Single">
    <w:name w:val="Single"/>
    <w:basedOn w:val="Normal"/>
    <w:pPr>
      <w:spacing w:after="130"/>
    </w:pPr>
    <w:rPr>
      <w:u w:val="single"/>
    </w:rPr>
  </w:style>
  <w:style w:type="paragraph" w:customStyle="1" w:styleId="Source">
    <w:name w:val="Source"/>
    <w:basedOn w:val="Normal"/>
    <w:next w:val="Normal"/>
    <w:pPr>
      <w:keepLines/>
      <w:spacing w:after="130" w:line="260" w:lineRule="exact"/>
    </w:pPr>
    <w:rPr>
      <w:i/>
    </w:rPr>
  </w:style>
  <w:style w:type="paragraph" w:customStyle="1" w:styleId="SubCoverTitle">
    <w:name w:val="Sub Cover Title"/>
    <w:basedOn w:val="CoverTitle"/>
    <w:rPr>
      <w:sz w:val="26"/>
    </w:rPr>
  </w:style>
  <w:style w:type="paragraph" w:customStyle="1" w:styleId="Tablehead">
    <w:name w:val="Tablehead"/>
    <w:basedOn w:val="Normal"/>
    <w:pPr>
      <w:spacing w:before="130"/>
      <w:jc w:val="right"/>
    </w:pPr>
  </w:style>
  <w:style w:type="paragraph" w:customStyle="1" w:styleId="Tablenums">
    <w:name w:val="Tablenums"/>
    <w:basedOn w:val="Normal"/>
    <w:pPr>
      <w:tabs>
        <w:tab w:val="decimal" w:pos="794"/>
      </w:tabs>
    </w:pPr>
  </w:style>
  <w:style w:type="paragraph" w:customStyle="1" w:styleId="Tabletext">
    <w:name w:val="Tabletext"/>
    <w:basedOn w:val="Normal"/>
    <w:pPr>
      <w:ind w:left="153" w:hanging="153"/>
    </w:pPr>
  </w:style>
  <w:style w:type="paragraph" w:customStyle="1" w:styleId="Text">
    <w:name w:val="Text"/>
    <w:aliases w:val="t1,b,t"/>
    <w:basedOn w:val="Normal"/>
    <w:link w:val="TextChar"/>
    <w:qFormat/>
    <w:pPr>
      <w:tabs>
        <w:tab w:val="left" w:pos="284"/>
      </w:tabs>
      <w:spacing w:after="130" w:line="260" w:lineRule="exact"/>
    </w:pPr>
    <w:rPr>
      <w:sz w:val="22"/>
    </w:rPr>
  </w:style>
  <w:style w:type="paragraph" w:styleId="TOC2">
    <w:name w:val="toc 2"/>
    <w:basedOn w:val="Normal"/>
    <w:next w:val="Normal"/>
    <w:semiHidden/>
    <w:pPr>
      <w:tabs>
        <w:tab w:val="right" w:pos="8646"/>
      </w:tabs>
      <w:ind w:left="851" w:hanging="851"/>
    </w:pPr>
    <w:rPr>
      <w:sz w:val="26"/>
    </w:rPr>
  </w:style>
  <w:style w:type="paragraph" w:customStyle="1" w:styleId="TwoDecAlign">
    <w:name w:val="TwoDecAlign"/>
    <w:basedOn w:val="Normal"/>
    <w:pPr>
      <w:tabs>
        <w:tab w:val="decimal" w:pos="794"/>
      </w:tabs>
    </w:pPr>
  </w:style>
  <w:style w:type="paragraph" w:customStyle="1" w:styleId="ACPageHeading">
    <w:name w:val="AC Page Heading"/>
    <w:basedOn w:val="Normal"/>
    <w:pPr>
      <w:pageBreakBefore/>
      <w:suppressAutoHyphens/>
    </w:pPr>
    <w:rPr>
      <w:b/>
      <w:sz w:val="26"/>
    </w:rPr>
  </w:style>
  <w:style w:type="paragraph" w:customStyle="1" w:styleId="ACSub-head">
    <w:name w:val="AC Sub-head"/>
    <w:basedOn w:val="Normal"/>
    <w:pPr>
      <w:widowControl w:val="0"/>
      <w:suppressAutoHyphens/>
      <w:jc w:val="left"/>
    </w:pPr>
    <w:rPr>
      <w:b/>
      <w:i/>
      <w:sz w:val="20"/>
    </w:rPr>
  </w:style>
  <w:style w:type="paragraph" w:customStyle="1" w:styleId="ACContents">
    <w:name w:val="AC Contents"/>
    <w:basedOn w:val="Normal"/>
    <w:pPr>
      <w:tabs>
        <w:tab w:val="left" w:pos="7488"/>
      </w:tabs>
      <w:suppressAutoHyphens/>
    </w:pPr>
    <w:rPr>
      <w:i/>
    </w:rPr>
  </w:style>
  <w:style w:type="paragraph" w:customStyle="1" w:styleId="ACSectionHeading">
    <w:name w:val="AC Section Heading"/>
    <w:basedOn w:val="Normal"/>
    <w:next w:val="Normal"/>
    <w:pPr>
      <w:pageBreakBefore/>
    </w:pPr>
    <w:rPr>
      <w:b/>
      <w:sz w:val="26"/>
    </w:rPr>
  </w:style>
  <w:style w:type="paragraph" w:customStyle="1" w:styleId="ACText">
    <w:name w:val="AC Text"/>
    <w:basedOn w:val="Normal"/>
    <w:pPr>
      <w:tabs>
        <w:tab w:val="left" w:pos="0"/>
      </w:tabs>
      <w:suppressAutoHyphens/>
      <w:spacing w:before="130"/>
    </w:pPr>
    <w:rPr>
      <w:sz w:val="20"/>
    </w:rPr>
  </w:style>
  <w:style w:type="paragraph" w:customStyle="1" w:styleId="ACHeadingcontinue">
    <w:name w:val="AC Heading continue"/>
    <w:basedOn w:val="Heading1"/>
    <w:pPr>
      <w:numPr>
        <w:numId w:val="0"/>
      </w:numPr>
      <w:spacing w:after="260" w:line="260" w:lineRule="exact"/>
      <w:ind w:left="709" w:hanging="709"/>
      <w:jc w:val="both"/>
      <w:outlineLvl w:val="9"/>
    </w:pPr>
    <w:rPr>
      <w:b w:val="0"/>
    </w:rPr>
  </w:style>
  <w:style w:type="paragraph" w:customStyle="1" w:styleId="ACContentsDetails">
    <w:name w:val="AC Contents Details"/>
    <w:basedOn w:val="ACContents"/>
    <w:next w:val="Normal"/>
    <w:pPr>
      <w:spacing w:line="360" w:lineRule="auto"/>
    </w:pPr>
    <w:rPr>
      <w:i w:val="0"/>
      <w:kern w:val="56"/>
    </w:rPr>
  </w:style>
  <w:style w:type="paragraph" w:customStyle="1" w:styleId="ACSectionTOCHeading">
    <w:name w:val="AC Section TOC Heading"/>
    <w:basedOn w:val="ACSectionHeading"/>
    <w:next w:val="ACText"/>
    <w:pPr>
      <w:pageBreakBefore w:val="0"/>
    </w:pPr>
  </w:style>
  <w:style w:type="paragraph" w:styleId="ListBullet">
    <w:name w:val="List Bullet"/>
    <w:basedOn w:val="Normal"/>
    <w:pPr>
      <w:spacing w:after="130" w:line="260" w:lineRule="exact"/>
      <w:ind w:left="284" w:hanging="284"/>
    </w:pPr>
    <w:rPr>
      <w:sz w:val="22"/>
    </w:rPr>
  </w:style>
  <w:style w:type="paragraph" w:styleId="ListBullet2">
    <w:name w:val="List Bullet 2"/>
    <w:basedOn w:val="Normal"/>
    <w:pPr>
      <w:spacing w:after="130" w:line="260" w:lineRule="exact"/>
      <w:ind w:left="568" w:hanging="284"/>
    </w:pPr>
    <w:rPr>
      <w:sz w:val="22"/>
    </w:rPr>
  </w:style>
  <w:style w:type="paragraph" w:styleId="ListNumber2">
    <w:name w:val="List Number 2"/>
    <w:basedOn w:val="ListBullet2"/>
    <w:pPr>
      <w:ind w:left="566" w:hanging="283"/>
    </w:pPr>
  </w:style>
  <w:style w:type="paragraph" w:customStyle="1" w:styleId="FinancialDate">
    <w:name w:val="Financial_Date"/>
    <w:next w:val="Normal"/>
    <w:pPr>
      <w:framePr w:w="5670" w:h="2948" w:hRule="exact" w:vSpace="181" w:wrap="notBeside" w:vAnchor="page" w:hAnchor="page" w:x="3171" w:y="5671" w:anchorLock="1"/>
      <w:suppressAutoHyphens/>
      <w:overflowPunct w:val="0"/>
      <w:autoSpaceDE w:val="0"/>
      <w:autoSpaceDN w:val="0"/>
      <w:adjustRightInd w:val="0"/>
      <w:spacing w:line="440" w:lineRule="exact"/>
      <w:ind w:left="284"/>
      <w:textAlignment w:val="baseline"/>
    </w:pPr>
    <w:rPr>
      <w:rFonts w:ascii="Tms Rmn" w:hAnsi="Tms Rmn"/>
      <w:noProof/>
      <w:lang w:eastAsia="en-US"/>
    </w:rPr>
  </w:style>
  <w:style w:type="paragraph" w:customStyle="1" w:styleId="AlignBrackets">
    <w:name w:val="AlignBrackets"/>
    <w:basedOn w:val="Normal"/>
    <w:pPr>
      <w:ind w:left="153" w:right="170" w:hanging="153"/>
      <w:jc w:val="right"/>
    </w:pPr>
  </w:style>
  <w:style w:type="paragraph" w:customStyle="1" w:styleId="AlignBracketsOne">
    <w:name w:val="AlignBracketsOne"/>
    <w:basedOn w:val="Normal"/>
    <w:pPr>
      <w:ind w:left="153" w:hanging="153"/>
      <w:jc w:val="right"/>
    </w:pPr>
  </w:style>
  <w:style w:type="paragraph" w:customStyle="1" w:styleId="AlignWithoutBrackets">
    <w:name w:val="AlignWithoutBrackets"/>
    <w:basedOn w:val="Tabletext"/>
    <w:pPr>
      <w:jc w:val="right"/>
    </w:pPr>
  </w:style>
  <w:style w:type="paragraph" w:customStyle="1" w:styleId="AlignBracketsTwo">
    <w:name w:val="AlignBracketsTwo"/>
    <w:basedOn w:val="Normal"/>
    <w:pPr>
      <w:ind w:left="153" w:right="57" w:hanging="153"/>
      <w:jc w:val="right"/>
    </w:pPr>
  </w:style>
  <w:style w:type="paragraph" w:customStyle="1" w:styleId="AlignWithoutOne">
    <w:name w:val="AlignWithoutOne"/>
    <w:basedOn w:val="Normal"/>
    <w:pPr>
      <w:ind w:left="153" w:right="57" w:hanging="153"/>
      <w:jc w:val="right"/>
    </w:pPr>
  </w:style>
  <w:style w:type="paragraph" w:customStyle="1" w:styleId="AlignWithoutTwo">
    <w:name w:val="AlignWithoutTwo"/>
    <w:basedOn w:val="Normal"/>
    <w:pPr>
      <w:ind w:left="153" w:right="113" w:hanging="153"/>
      <w:jc w:val="right"/>
    </w:pPr>
  </w:style>
  <w:style w:type="paragraph" w:customStyle="1" w:styleId="LetTLH">
    <w:name w:val="LetTLH"/>
    <w:basedOn w:val="Normal"/>
    <w:next w:val="Normal"/>
    <w:pPr>
      <w:keepLines/>
      <w:tabs>
        <w:tab w:val="left" w:pos="1463"/>
        <w:tab w:val="left" w:pos="4445"/>
        <w:tab w:val="left" w:pos="7326"/>
      </w:tabs>
      <w:spacing w:after="260" w:line="240" w:lineRule="exact"/>
      <w:jc w:val="left"/>
    </w:pPr>
    <w:rPr>
      <w:rFonts w:ascii="Univers 45 Light" w:hAnsi="Univers 45 Light"/>
      <w:sz w:val="16"/>
    </w:rPr>
  </w:style>
  <w:style w:type="paragraph" w:customStyle="1" w:styleId="CoverClientName">
    <w:name w:val="Cover Client Name"/>
    <w:basedOn w:val="Normal"/>
    <w:pPr>
      <w:tabs>
        <w:tab w:val="left" w:pos="-140"/>
      </w:tabs>
      <w:spacing w:before="80" w:after="520"/>
    </w:pPr>
    <w:rPr>
      <w:b/>
      <w:sz w:val="26"/>
    </w:rPr>
  </w:style>
  <w:style w:type="paragraph" w:customStyle="1" w:styleId="ACNotesText">
    <w:name w:val="AC Notes Text"/>
    <w:basedOn w:val="ACText"/>
  </w:style>
  <w:style w:type="paragraph" w:customStyle="1" w:styleId="Tabletext1">
    <w:name w:val="Tabletext1"/>
    <w:basedOn w:val="Normal"/>
    <w:pPr>
      <w:spacing w:before="130"/>
      <w:ind w:right="57"/>
      <w:jc w:val="right"/>
    </w:pPr>
  </w:style>
  <w:style w:type="paragraph" w:customStyle="1" w:styleId="Tabletext2">
    <w:name w:val="Tabletext2"/>
    <w:basedOn w:val="Normal"/>
    <w:pPr>
      <w:spacing w:before="130"/>
      <w:ind w:right="113"/>
      <w:jc w:val="right"/>
    </w:pPr>
  </w:style>
  <w:style w:type="paragraph" w:customStyle="1" w:styleId="ACBullet">
    <w:name w:val="AC Bullet"/>
    <w:basedOn w:val="Normal"/>
    <w:pPr>
      <w:numPr>
        <w:numId w:val="2"/>
      </w:numPr>
      <w:tabs>
        <w:tab w:val="clear" w:pos="360"/>
        <w:tab w:val="left" w:pos="284"/>
      </w:tabs>
      <w:spacing w:before="130"/>
      <w:ind w:left="284" w:hanging="284"/>
    </w:pPr>
    <w:rPr>
      <w:sz w:val="20"/>
    </w:r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Number">
    <w:name w:val="List Number"/>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customStyle="1" w:styleId="CoverSubTitle">
    <w:name w:val="Cover SubTitle"/>
    <w:basedOn w:val="Single"/>
    <w:pPr>
      <w:spacing w:after="0" w:line="440" w:lineRule="exact"/>
      <w:jc w:val="center"/>
    </w:pPr>
    <w:rPr>
      <w:sz w:val="32"/>
      <w:u w:val="none"/>
    </w:rPr>
  </w:style>
  <w:style w:type="paragraph" w:customStyle="1" w:styleId="CoverDate">
    <w:name w:val="Cover Date"/>
    <w:basedOn w:val="Single"/>
    <w:pPr>
      <w:spacing w:after="0" w:line="440" w:lineRule="exact"/>
      <w:jc w:val="center"/>
    </w:pPr>
    <w:rPr>
      <w:sz w:val="32"/>
      <w:u w:val="none"/>
    </w:rPr>
  </w:style>
  <w:style w:type="paragraph" w:styleId="BodyText">
    <w:name w:val="Body Text"/>
    <w:basedOn w:val="Normal"/>
    <w:rPr>
      <w:color w:val="0000FF"/>
    </w:rPr>
  </w:style>
  <w:style w:type="paragraph" w:customStyle="1" w:styleId="KPMGSmalllogo">
    <w:name w:val="KPMG Small logo"/>
    <w:basedOn w:val="Normal"/>
    <w:pPr>
      <w:spacing w:before="360"/>
      <w:jc w:val="left"/>
    </w:pPr>
    <w:rPr>
      <w:rFonts w:ascii="KPMG Logos V0.92" w:hAnsi="KPMG Logos V0.92"/>
      <w:sz w:val="20"/>
    </w:rPr>
  </w:style>
  <w:style w:type="paragraph" w:styleId="BalloonText">
    <w:name w:val="Balloon Text"/>
    <w:basedOn w:val="Normal"/>
    <w:semiHidden/>
    <w:rsid w:val="00984D52"/>
    <w:rPr>
      <w:rFonts w:ascii="Tahoma" w:hAnsi="Tahoma" w:cs="Tahoma"/>
      <w:sz w:val="16"/>
      <w:szCs w:val="16"/>
    </w:rPr>
  </w:style>
  <w:style w:type="character" w:styleId="Strong">
    <w:name w:val="Strong"/>
    <w:qFormat/>
    <w:rsid w:val="000F2724"/>
    <w:rPr>
      <w:b/>
      <w:bCs/>
    </w:rPr>
  </w:style>
  <w:style w:type="paragraph" w:styleId="NormalWeb">
    <w:name w:val="Normal (Web)"/>
    <w:basedOn w:val="Normal"/>
    <w:rsid w:val="000F2724"/>
    <w:pPr>
      <w:overflowPunct/>
      <w:autoSpaceDE/>
      <w:autoSpaceDN/>
      <w:adjustRightInd/>
      <w:spacing w:before="100" w:beforeAutospacing="1" w:after="100" w:afterAutospacing="1"/>
      <w:jc w:val="left"/>
      <w:textAlignment w:val="auto"/>
    </w:pPr>
    <w:rPr>
      <w:sz w:val="31"/>
      <w:szCs w:val="31"/>
      <w:lang w:eastAsia="en-GB"/>
    </w:rPr>
  </w:style>
  <w:style w:type="paragraph" w:customStyle="1" w:styleId="default">
    <w:name w:val="default"/>
    <w:basedOn w:val="Normal"/>
    <w:rsid w:val="000F2724"/>
    <w:pPr>
      <w:overflowPunct/>
      <w:autoSpaceDE/>
      <w:autoSpaceDN/>
      <w:adjustRightInd/>
      <w:spacing w:before="100" w:beforeAutospacing="1" w:after="100" w:afterAutospacing="1"/>
      <w:jc w:val="left"/>
      <w:textAlignment w:val="auto"/>
    </w:pPr>
    <w:rPr>
      <w:sz w:val="31"/>
      <w:szCs w:val="31"/>
      <w:lang w:eastAsia="en-GB"/>
    </w:rPr>
  </w:style>
  <w:style w:type="table" w:styleId="TableGrid">
    <w:name w:val="Table Grid"/>
    <w:basedOn w:val="TableNormal"/>
    <w:rsid w:val="00216BC2"/>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F73AA4"/>
    <w:pPr>
      <w:autoSpaceDE w:val="0"/>
      <w:autoSpaceDN w:val="0"/>
      <w:adjustRightInd w:val="0"/>
    </w:pPr>
    <w:rPr>
      <w:rFonts w:ascii="Georgia" w:hAnsi="Georgia" w:cs="Georgia"/>
      <w:color w:val="000000"/>
      <w:sz w:val="24"/>
      <w:szCs w:val="24"/>
    </w:rPr>
  </w:style>
  <w:style w:type="paragraph" w:customStyle="1" w:styleId="msolistparagraph0">
    <w:name w:val="msolistparagraph"/>
    <w:basedOn w:val="Normal"/>
    <w:rsid w:val="002D78F3"/>
    <w:pPr>
      <w:overflowPunct/>
      <w:autoSpaceDE/>
      <w:autoSpaceDN/>
      <w:adjustRightInd/>
      <w:ind w:left="720"/>
      <w:jc w:val="left"/>
      <w:textAlignment w:val="auto"/>
    </w:pPr>
    <w:rPr>
      <w:rFonts w:ascii="Calibri" w:hAnsi="Calibri"/>
      <w:sz w:val="22"/>
      <w:szCs w:val="22"/>
    </w:rPr>
  </w:style>
  <w:style w:type="character" w:styleId="Hyperlink">
    <w:name w:val="Hyperlink"/>
    <w:rsid w:val="00923A5C"/>
    <w:rPr>
      <w:color w:val="0000FF"/>
      <w:u w:val="single"/>
    </w:rPr>
  </w:style>
  <w:style w:type="character" w:styleId="FollowedHyperlink">
    <w:name w:val="FollowedHyperlink"/>
    <w:rsid w:val="00923A5C"/>
    <w:rPr>
      <w:color w:val="800080"/>
      <w:u w:val="single"/>
    </w:rPr>
  </w:style>
  <w:style w:type="paragraph" w:styleId="CommentText">
    <w:name w:val="annotation text"/>
    <w:basedOn w:val="Normal"/>
    <w:link w:val="CommentTextChar"/>
    <w:rsid w:val="001025C1"/>
    <w:rPr>
      <w:sz w:val="20"/>
      <w:lang w:val="x-none"/>
    </w:rPr>
  </w:style>
  <w:style w:type="character" w:customStyle="1" w:styleId="CommentTextChar">
    <w:name w:val="Comment Text Char"/>
    <w:link w:val="CommentText"/>
    <w:rsid w:val="001025C1"/>
    <w:rPr>
      <w:lang w:eastAsia="en-US"/>
    </w:rPr>
  </w:style>
  <w:style w:type="paragraph" w:styleId="CommentSubject">
    <w:name w:val="annotation subject"/>
    <w:basedOn w:val="CommentText"/>
    <w:next w:val="CommentText"/>
    <w:link w:val="CommentSubjectChar"/>
    <w:rsid w:val="001025C1"/>
    <w:rPr>
      <w:b/>
      <w:bCs/>
    </w:rPr>
  </w:style>
  <w:style w:type="character" w:customStyle="1" w:styleId="CommentSubjectChar">
    <w:name w:val="Comment Subject Char"/>
    <w:link w:val="CommentSubject"/>
    <w:rsid w:val="001025C1"/>
    <w:rPr>
      <w:b/>
      <w:bCs/>
      <w:lang w:eastAsia="en-US"/>
    </w:rPr>
  </w:style>
  <w:style w:type="character" w:customStyle="1" w:styleId="TextChar">
    <w:name w:val="Text Char"/>
    <w:link w:val="Text"/>
    <w:rsid w:val="004C0A14"/>
    <w:rPr>
      <w:sz w:val="22"/>
      <w:lang w:val="en-GB" w:eastAsia="en-US" w:bidi="ar-SA"/>
    </w:rPr>
  </w:style>
  <w:style w:type="character" w:customStyle="1" w:styleId="BulletChar">
    <w:name w:val="Bullet Char"/>
    <w:link w:val="Bullet"/>
    <w:uiPriority w:val="1"/>
    <w:rsid w:val="004C0A14"/>
    <w:rPr>
      <w:sz w:val="18"/>
      <w:lang w:eastAsia="en-US"/>
    </w:rPr>
  </w:style>
  <w:style w:type="paragraph" w:styleId="Revision">
    <w:name w:val="Revision"/>
    <w:hidden/>
    <w:uiPriority w:val="99"/>
    <w:semiHidden/>
    <w:rsid w:val="00141F05"/>
    <w:rPr>
      <w:sz w:val="18"/>
      <w:lang w:eastAsia="en-US"/>
    </w:rPr>
  </w:style>
  <w:style w:type="character" w:customStyle="1" w:styleId="HeaderChar">
    <w:name w:val="Header Char"/>
    <w:link w:val="Header"/>
    <w:uiPriority w:val="99"/>
    <w:rsid w:val="00E1796D"/>
    <w:rPr>
      <w:i/>
      <w:sz w:val="18"/>
      <w:lang w:eastAsia="en-US"/>
    </w:rPr>
  </w:style>
  <w:style w:type="paragraph" w:customStyle="1" w:styleId="1point">
    <w:name w:val="1 point"/>
    <w:basedOn w:val="Normal"/>
    <w:uiPriority w:val="98"/>
    <w:rsid w:val="00997BF4"/>
    <w:pPr>
      <w:numPr>
        <w:numId w:val="19"/>
      </w:numPr>
      <w:overflowPunct/>
      <w:autoSpaceDE/>
      <w:autoSpaceDN/>
      <w:adjustRightInd/>
      <w:jc w:val="center"/>
      <w:textAlignment w:val="auto"/>
    </w:pPr>
    <w:rPr>
      <w:rFonts w:eastAsiaTheme="minorHAnsi"/>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367"/>
    <w:pPr>
      <w:overflowPunct w:val="0"/>
      <w:autoSpaceDE w:val="0"/>
      <w:autoSpaceDN w:val="0"/>
      <w:adjustRightInd w:val="0"/>
      <w:jc w:val="both"/>
      <w:textAlignment w:val="baseline"/>
    </w:pPr>
    <w:rPr>
      <w:sz w:val="18"/>
      <w:lang w:eastAsia="en-US"/>
    </w:rPr>
  </w:style>
  <w:style w:type="paragraph" w:styleId="Heading1">
    <w:name w:val="heading 1"/>
    <w:basedOn w:val="Normal"/>
    <w:next w:val="Normal"/>
    <w:qFormat/>
    <w:pPr>
      <w:keepNext/>
      <w:numPr>
        <w:numId w:val="1"/>
      </w:numPr>
      <w:spacing w:before="240" w:after="130"/>
      <w:ind w:left="709" w:hanging="709"/>
      <w:jc w:val="left"/>
      <w:outlineLvl w:val="0"/>
    </w:pPr>
    <w:rPr>
      <w:b/>
      <w:sz w:val="20"/>
    </w:rPr>
  </w:style>
  <w:style w:type="paragraph" w:styleId="Heading2">
    <w:name w:val="heading 2"/>
    <w:basedOn w:val="Normal"/>
    <w:next w:val="Heading3"/>
    <w:qFormat/>
    <w:pPr>
      <w:keepNext/>
      <w:numPr>
        <w:ilvl w:val="1"/>
        <w:numId w:val="1"/>
      </w:numPr>
      <w:spacing w:before="260" w:after="40" w:line="360" w:lineRule="exact"/>
      <w:outlineLvl w:val="1"/>
    </w:pPr>
    <w:rPr>
      <w:b/>
      <w:sz w:val="26"/>
    </w:rPr>
  </w:style>
  <w:style w:type="paragraph" w:styleId="Heading3">
    <w:name w:val="heading 3"/>
    <w:basedOn w:val="Normal"/>
    <w:next w:val="Normal"/>
    <w:qFormat/>
    <w:pPr>
      <w:keepNext/>
      <w:numPr>
        <w:ilvl w:val="2"/>
        <w:numId w:val="1"/>
      </w:numPr>
      <w:spacing w:before="260" w:line="360" w:lineRule="exact"/>
      <w:outlineLvl w:val="2"/>
    </w:pPr>
    <w:rPr>
      <w:b/>
      <w:i/>
      <w:sz w:val="22"/>
    </w:rPr>
  </w:style>
  <w:style w:type="paragraph" w:styleId="Heading4">
    <w:name w:val="heading 4"/>
    <w:basedOn w:val="Normal"/>
    <w:next w:val="Normal"/>
    <w:qFormat/>
    <w:pPr>
      <w:keepNext/>
      <w:numPr>
        <w:ilvl w:val="3"/>
        <w:numId w:val="1"/>
      </w:numPr>
      <w:spacing w:before="260" w:line="360" w:lineRule="exact"/>
      <w:outlineLvl w:val="3"/>
    </w:pPr>
    <w:rPr>
      <w:i/>
      <w:sz w:val="22"/>
    </w:rPr>
  </w:style>
  <w:style w:type="paragraph" w:styleId="Heading5">
    <w:name w:val="heading 5"/>
    <w:basedOn w:val="Normal"/>
    <w:qFormat/>
    <w:pPr>
      <w:numPr>
        <w:ilvl w:val="4"/>
        <w:numId w:val="1"/>
      </w:numPr>
      <w:spacing w:before="130"/>
      <w:outlineLvl w:val="4"/>
    </w:pPr>
    <w:rPr>
      <w:sz w:val="22"/>
    </w:rPr>
  </w:style>
  <w:style w:type="paragraph" w:styleId="Heading6">
    <w:name w:val="heading 6"/>
    <w:basedOn w:val="Normal"/>
    <w:next w:val="Normal"/>
    <w:qFormat/>
    <w:pPr>
      <w:numPr>
        <w:ilvl w:val="5"/>
        <w:numId w:val="1"/>
      </w:numPr>
      <w:spacing w:before="240" w:after="60"/>
      <w:outlineLvl w:val="5"/>
    </w:pPr>
    <w:rPr>
      <w:sz w:val="22"/>
    </w:rPr>
  </w:style>
  <w:style w:type="paragraph" w:styleId="Heading7">
    <w:name w:val="heading 7"/>
    <w:basedOn w:val="Normal"/>
    <w:next w:val="Normal"/>
    <w:qFormat/>
    <w:pPr>
      <w:numPr>
        <w:ilvl w:val="6"/>
        <w:numId w:val="1"/>
      </w:numPr>
      <w:spacing w:before="240" w:after="60"/>
      <w:outlineLvl w:val="6"/>
    </w:pPr>
    <w:rPr>
      <w:sz w:val="22"/>
    </w:rPr>
  </w:style>
  <w:style w:type="paragraph" w:styleId="Heading8">
    <w:name w:val="heading 8"/>
    <w:basedOn w:val="Normal"/>
    <w:next w:val="Normal"/>
    <w:qFormat/>
    <w:pPr>
      <w:numPr>
        <w:ilvl w:val="7"/>
        <w:numId w:val="1"/>
      </w:numPr>
      <w:spacing w:before="240" w:after="60"/>
      <w:outlineLvl w:val="7"/>
    </w:pPr>
    <w:rPr>
      <w:sz w:val="22"/>
    </w:rPr>
  </w:style>
  <w:style w:type="paragraph" w:styleId="Heading9">
    <w:name w:val="heading 9"/>
    <w:basedOn w:val="Normal"/>
    <w:next w:val="Normal"/>
    <w:qFormat/>
    <w:pPr>
      <w:numPr>
        <w:ilvl w:val="8"/>
        <w:numId w:val="1"/>
      </w:num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customStyle="1" w:styleId="Bracketalign">
    <w:name w:val="Bracketalign"/>
    <w:basedOn w:val="Normal"/>
  </w:style>
  <w:style w:type="paragraph" w:customStyle="1" w:styleId="Bullet">
    <w:name w:val="Bullet"/>
    <w:basedOn w:val="Normal"/>
    <w:link w:val="BulletChar"/>
    <w:uiPriority w:val="1"/>
    <w:pPr>
      <w:numPr>
        <w:numId w:val="3"/>
      </w:numPr>
      <w:tabs>
        <w:tab w:val="left" w:pos="284"/>
      </w:tabs>
      <w:spacing w:before="130"/>
    </w:pPr>
  </w:style>
  <w:style w:type="paragraph" w:styleId="Caption">
    <w:name w:val="caption"/>
    <w:basedOn w:val="Normal"/>
    <w:next w:val="Normal"/>
    <w:qFormat/>
    <w:pPr>
      <w:keepNext/>
      <w:keepLines/>
      <w:spacing w:before="130" w:after="130"/>
    </w:pPr>
    <w:rPr>
      <w:b/>
      <w:sz w:val="22"/>
    </w:rPr>
  </w:style>
  <w:style w:type="paragraph" w:customStyle="1" w:styleId="ContentsHeader">
    <w:name w:val="Contents Header"/>
    <w:basedOn w:val="Heading1"/>
    <w:next w:val="TOC1"/>
    <w:pPr>
      <w:numPr>
        <w:numId w:val="0"/>
      </w:numPr>
      <w:spacing w:before="0" w:after="0"/>
      <w:ind w:left="709" w:hanging="709"/>
      <w:outlineLvl w:val="9"/>
    </w:pPr>
    <w:rPr>
      <w:b w:val="0"/>
      <w:sz w:val="36"/>
    </w:rPr>
  </w:style>
  <w:style w:type="paragraph" w:styleId="TOC1">
    <w:name w:val="toc 1"/>
    <w:basedOn w:val="Normal"/>
    <w:next w:val="Normal"/>
    <w:semiHidden/>
    <w:pPr>
      <w:widowControl w:val="0"/>
      <w:tabs>
        <w:tab w:val="right" w:pos="9355"/>
      </w:tabs>
      <w:spacing w:line="360" w:lineRule="auto"/>
      <w:jc w:val="left"/>
    </w:pPr>
    <w:rPr>
      <w:sz w:val="20"/>
    </w:rPr>
  </w:style>
  <w:style w:type="character" w:customStyle="1" w:styleId="ContentsPageNumber">
    <w:name w:val="Contents Page Number"/>
    <w:rPr>
      <w:rFonts w:ascii="Times New Roman" w:hAnsi="Times New Roman"/>
      <w:sz w:val="22"/>
    </w:rPr>
  </w:style>
  <w:style w:type="paragraph" w:customStyle="1" w:styleId="CompanyTitle">
    <w:name w:val="Company_Title"/>
    <w:next w:val="Normal"/>
    <w:pPr>
      <w:framePr w:w="5670" w:h="2948" w:hRule="exact" w:vSpace="181" w:wrap="notBeside" w:vAnchor="page" w:hAnchor="page" w:x="3171" w:y="5671" w:anchorLock="1"/>
      <w:widowControl w:val="0"/>
      <w:overflowPunct w:val="0"/>
      <w:autoSpaceDE w:val="0"/>
      <w:autoSpaceDN w:val="0"/>
      <w:adjustRightInd w:val="0"/>
      <w:ind w:left="113"/>
      <w:textAlignment w:val="baseline"/>
    </w:pPr>
    <w:rPr>
      <w:rFonts w:ascii="Tms Rmn" w:hAnsi="Tms Rmn"/>
      <w:b/>
      <w:noProof/>
      <w:spacing w:val="-4"/>
      <w:sz w:val="26"/>
      <w:lang w:eastAsia="en-US"/>
    </w:rPr>
  </w:style>
  <w:style w:type="paragraph" w:customStyle="1" w:styleId="CoverInformation">
    <w:name w:val="Cover Information"/>
    <w:basedOn w:val="Normal"/>
    <w:pPr>
      <w:framePr w:w="4536" w:hSpace="180" w:vSpace="180" w:wrap="auto" w:vAnchor="page" w:hAnchor="page" w:x="3601" w:y="14176"/>
      <w:spacing w:line="260" w:lineRule="exact"/>
      <w:ind w:left="284"/>
    </w:pPr>
    <w:rPr>
      <w:sz w:val="22"/>
    </w:rPr>
  </w:style>
  <w:style w:type="paragraph" w:customStyle="1" w:styleId="CoverTitle">
    <w:name w:val="Cover Title"/>
    <w:basedOn w:val="Normal"/>
    <w:pPr>
      <w:spacing w:line="440" w:lineRule="exact"/>
    </w:pPr>
    <w:rPr>
      <w:sz w:val="36"/>
    </w:rPr>
  </w:style>
  <w:style w:type="paragraph" w:customStyle="1" w:styleId="Denomination">
    <w:name w:val="Denomination"/>
    <w:basedOn w:val="Normal"/>
    <w:pPr>
      <w:jc w:val="right"/>
    </w:pPr>
  </w:style>
  <w:style w:type="paragraph" w:customStyle="1" w:styleId="Double">
    <w:name w:val="Double"/>
    <w:basedOn w:val="Normal"/>
    <w:pPr>
      <w:spacing w:after="130"/>
    </w:pPr>
    <w:rPr>
      <w:u w:val="double"/>
    </w:rPr>
  </w:style>
  <w:style w:type="character" w:styleId="EndnoteReference">
    <w:name w:val="endnote reference"/>
    <w:semiHidden/>
    <w:rPr>
      <w:color w:val="0000FF"/>
      <w:vertAlign w:val="superscript"/>
    </w:rPr>
  </w:style>
  <w:style w:type="paragraph" w:styleId="EndnoteText">
    <w:name w:val="endnote text"/>
    <w:basedOn w:val="Normal"/>
    <w:semiHidden/>
    <w:pPr>
      <w:spacing w:after="180"/>
    </w:pPr>
  </w:style>
  <w:style w:type="paragraph" w:styleId="Footer">
    <w:name w:val="footer"/>
    <w:basedOn w:val="Normal"/>
    <w:next w:val="Normal"/>
    <w:pPr>
      <w:tabs>
        <w:tab w:val="center" w:pos="4819"/>
        <w:tab w:val="right" w:pos="9071"/>
      </w:tabs>
    </w:pPr>
    <w:rPr>
      <w:sz w:val="22"/>
    </w:rPr>
  </w:style>
  <w:style w:type="character" w:styleId="FootnoteReference">
    <w:name w:val="footnote reference"/>
    <w:semiHidden/>
    <w:rPr>
      <w:color w:val="FF0000"/>
      <w:vertAlign w:val="superscript"/>
    </w:rPr>
  </w:style>
  <w:style w:type="paragraph" w:styleId="FootnoteText">
    <w:name w:val="footnote text"/>
    <w:basedOn w:val="Normal"/>
    <w:semiHidden/>
    <w:pPr>
      <w:spacing w:after="180"/>
    </w:pPr>
  </w:style>
  <w:style w:type="paragraph" w:customStyle="1" w:styleId="Graphic">
    <w:name w:val="Graphic"/>
    <w:basedOn w:val="Normal"/>
    <w:pPr>
      <w:keepNext/>
      <w:spacing w:before="130" w:after="130"/>
      <w:jc w:val="center"/>
    </w:pPr>
    <w:rPr>
      <w:sz w:val="22"/>
    </w:rPr>
  </w:style>
  <w:style w:type="paragraph" w:styleId="Header">
    <w:name w:val="header"/>
    <w:basedOn w:val="Normal"/>
    <w:next w:val="Normal"/>
    <w:link w:val="HeaderChar"/>
    <w:uiPriority w:val="99"/>
    <w:pPr>
      <w:jc w:val="right"/>
    </w:pPr>
    <w:rPr>
      <w:i/>
    </w:rPr>
  </w:style>
  <w:style w:type="paragraph" w:styleId="Index1">
    <w:name w:val="index 1"/>
    <w:basedOn w:val="Normal"/>
    <w:next w:val="Index2"/>
    <w:semiHidden/>
    <w:pPr>
      <w:spacing w:before="200"/>
      <w:ind w:left="851"/>
    </w:pPr>
    <w:rPr>
      <w:b/>
      <w:sz w:val="22"/>
    </w:rPr>
  </w:style>
  <w:style w:type="paragraph" w:styleId="Index2">
    <w:name w:val="index 2"/>
    <w:basedOn w:val="Normal"/>
    <w:semiHidden/>
    <w:pPr>
      <w:ind w:left="1520"/>
    </w:pPr>
    <w:rPr>
      <w:sz w:val="22"/>
    </w:rPr>
  </w:style>
  <w:style w:type="paragraph" w:customStyle="1" w:styleId="NoDecAlign">
    <w:name w:val="NoDecAlign"/>
    <w:basedOn w:val="Normal"/>
    <w:pPr>
      <w:tabs>
        <w:tab w:val="decimal" w:pos="1021"/>
      </w:tabs>
    </w:pPr>
  </w:style>
  <w:style w:type="paragraph" w:customStyle="1" w:styleId="Numbering">
    <w:name w:val="Numbering"/>
    <w:basedOn w:val="Normal"/>
    <w:pPr>
      <w:spacing w:after="130" w:line="260" w:lineRule="exact"/>
      <w:ind w:left="284" w:hanging="284"/>
    </w:pPr>
    <w:rPr>
      <w:sz w:val="22"/>
    </w:rPr>
  </w:style>
  <w:style w:type="paragraph" w:customStyle="1" w:styleId="OneDecAlign">
    <w:name w:val="OneDecAlign"/>
    <w:basedOn w:val="Normal"/>
    <w:pPr>
      <w:tabs>
        <w:tab w:val="decimal" w:pos="879"/>
      </w:tabs>
    </w:pPr>
  </w:style>
  <w:style w:type="character" w:styleId="PageNumber">
    <w:name w:val="page number"/>
    <w:basedOn w:val="DefaultParagraphFont"/>
  </w:style>
  <w:style w:type="paragraph" w:customStyle="1" w:styleId="PageNumber1">
    <w:name w:val="Page Number1"/>
    <w:basedOn w:val="Normal"/>
    <w:pPr>
      <w:tabs>
        <w:tab w:val="center" w:pos="4320"/>
        <w:tab w:val="right" w:pos="8640"/>
      </w:tabs>
      <w:jc w:val="center"/>
    </w:pPr>
  </w:style>
  <w:style w:type="paragraph" w:customStyle="1" w:styleId="RunningTitle">
    <w:name w:val="Running Title"/>
    <w:basedOn w:val="Normal"/>
    <w:pPr>
      <w:spacing w:line="220" w:lineRule="exact"/>
      <w:jc w:val="right"/>
    </w:pPr>
    <w:rPr>
      <w:i/>
    </w:rPr>
  </w:style>
  <w:style w:type="paragraph" w:customStyle="1" w:styleId="Single">
    <w:name w:val="Single"/>
    <w:basedOn w:val="Normal"/>
    <w:pPr>
      <w:spacing w:after="130"/>
    </w:pPr>
    <w:rPr>
      <w:u w:val="single"/>
    </w:rPr>
  </w:style>
  <w:style w:type="paragraph" w:customStyle="1" w:styleId="Source">
    <w:name w:val="Source"/>
    <w:basedOn w:val="Normal"/>
    <w:next w:val="Normal"/>
    <w:pPr>
      <w:keepLines/>
      <w:spacing w:after="130" w:line="260" w:lineRule="exact"/>
    </w:pPr>
    <w:rPr>
      <w:i/>
    </w:rPr>
  </w:style>
  <w:style w:type="paragraph" w:customStyle="1" w:styleId="SubCoverTitle">
    <w:name w:val="Sub Cover Title"/>
    <w:basedOn w:val="CoverTitle"/>
    <w:rPr>
      <w:sz w:val="26"/>
    </w:rPr>
  </w:style>
  <w:style w:type="paragraph" w:customStyle="1" w:styleId="Tablehead">
    <w:name w:val="Tablehead"/>
    <w:basedOn w:val="Normal"/>
    <w:pPr>
      <w:spacing w:before="130"/>
      <w:jc w:val="right"/>
    </w:pPr>
  </w:style>
  <w:style w:type="paragraph" w:customStyle="1" w:styleId="Tablenums">
    <w:name w:val="Tablenums"/>
    <w:basedOn w:val="Normal"/>
    <w:pPr>
      <w:tabs>
        <w:tab w:val="decimal" w:pos="794"/>
      </w:tabs>
    </w:pPr>
  </w:style>
  <w:style w:type="paragraph" w:customStyle="1" w:styleId="Tabletext">
    <w:name w:val="Tabletext"/>
    <w:basedOn w:val="Normal"/>
    <w:pPr>
      <w:ind w:left="153" w:hanging="153"/>
    </w:pPr>
  </w:style>
  <w:style w:type="paragraph" w:customStyle="1" w:styleId="Text">
    <w:name w:val="Text"/>
    <w:aliases w:val="t1,b,t"/>
    <w:basedOn w:val="Normal"/>
    <w:link w:val="TextChar"/>
    <w:qFormat/>
    <w:pPr>
      <w:tabs>
        <w:tab w:val="left" w:pos="284"/>
      </w:tabs>
      <w:spacing w:after="130" w:line="260" w:lineRule="exact"/>
    </w:pPr>
    <w:rPr>
      <w:sz w:val="22"/>
    </w:rPr>
  </w:style>
  <w:style w:type="paragraph" w:styleId="TOC2">
    <w:name w:val="toc 2"/>
    <w:basedOn w:val="Normal"/>
    <w:next w:val="Normal"/>
    <w:semiHidden/>
    <w:pPr>
      <w:tabs>
        <w:tab w:val="right" w:pos="8646"/>
      </w:tabs>
      <w:ind w:left="851" w:hanging="851"/>
    </w:pPr>
    <w:rPr>
      <w:sz w:val="26"/>
    </w:rPr>
  </w:style>
  <w:style w:type="paragraph" w:customStyle="1" w:styleId="TwoDecAlign">
    <w:name w:val="TwoDecAlign"/>
    <w:basedOn w:val="Normal"/>
    <w:pPr>
      <w:tabs>
        <w:tab w:val="decimal" w:pos="794"/>
      </w:tabs>
    </w:pPr>
  </w:style>
  <w:style w:type="paragraph" w:customStyle="1" w:styleId="ACPageHeading">
    <w:name w:val="AC Page Heading"/>
    <w:basedOn w:val="Normal"/>
    <w:pPr>
      <w:pageBreakBefore/>
      <w:suppressAutoHyphens/>
    </w:pPr>
    <w:rPr>
      <w:b/>
      <w:sz w:val="26"/>
    </w:rPr>
  </w:style>
  <w:style w:type="paragraph" w:customStyle="1" w:styleId="ACSub-head">
    <w:name w:val="AC Sub-head"/>
    <w:basedOn w:val="Normal"/>
    <w:pPr>
      <w:widowControl w:val="0"/>
      <w:suppressAutoHyphens/>
      <w:jc w:val="left"/>
    </w:pPr>
    <w:rPr>
      <w:b/>
      <w:i/>
      <w:sz w:val="20"/>
    </w:rPr>
  </w:style>
  <w:style w:type="paragraph" w:customStyle="1" w:styleId="ACContents">
    <w:name w:val="AC Contents"/>
    <w:basedOn w:val="Normal"/>
    <w:pPr>
      <w:tabs>
        <w:tab w:val="left" w:pos="7488"/>
      </w:tabs>
      <w:suppressAutoHyphens/>
    </w:pPr>
    <w:rPr>
      <w:i/>
    </w:rPr>
  </w:style>
  <w:style w:type="paragraph" w:customStyle="1" w:styleId="ACSectionHeading">
    <w:name w:val="AC Section Heading"/>
    <w:basedOn w:val="Normal"/>
    <w:next w:val="Normal"/>
    <w:pPr>
      <w:pageBreakBefore/>
    </w:pPr>
    <w:rPr>
      <w:b/>
      <w:sz w:val="26"/>
    </w:rPr>
  </w:style>
  <w:style w:type="paragraph" w:customStyle="1" w:styleId="ACText">
    <w:name w:val="AC Text"/>
    <w:basedOn w:val="Normal"/>
    <w:pPr>
      <w:tabs>
        <w:tab w:val="left" w:pos="0"/>
      </w:tabs>
      <w:suppressAutoHyphens/>
      <w:spacing w:before="130"/>
    </w:pPr>
    <w:rPr>
      <w:sz w:val="20"/>
    </w:rPr>
  </w:style>
  <w:style w:type="paragraph" w:customStyle="1" w:styleId="ACHeadingcontinue">
    <w:name w:val="AC Heading continue"/>
    <w:basedOn w:val="Heading1"/>
    <w:pPr>
      <w:numPr>
        <w:numId w:val="0"/>
      </w:numPr>
      <w:spacing w:after="260" w:line="260" w:lineRule="exact"/>
      <w:ind w:left="709" w:hanging="709"/>
      <w:jc w:val="both"/>
      <w:outlineLvl w:val="9"/>
    </w:pPr>
    <w:rPr>
      <w:b w:val="0"/>
    </w:rPr>
  </w:style>
  <w:style w:type="paragraph" w:customStyle="1" w:styleId="ACContentsDetails">
    <w:name w:val="AC Contents Details"/>
    <w:basedOn w:val="ACContents"/>
    <w:next w:val="Normal"/>
    <w:pPr>
      <w:spacing w:line="360" w:lineRule="auto"/>
    </w:pPr>
    <w:rPr>
      <w:i w:val="0"/>
      <w:kern w:val="56"/>
    </w:rPr>
  </w:style>
  <w:style w:type="paragraph" w:customStyle="1" w:styleId="ACSectionTOCHeading">
    <w:name w:val="AC Section TOC Heading"/>
    <w:basedOn w:val="ACSectionHeading"/>
    <w:next w:val="ACText"/>
    <w:pPr>
      <w:pageBreakBefore w:val="0"/>
    </w:pPr>
  </w:style>
  <w:style w:type="paragraph" w:styleId="ListBullet">
    <w:name w:val="List Bullet"/>
    <w:basedOn w:val="Normal"/>
    <w:pPr>
      <w:spacing w:after="130" w:line="260" w:lineRule="exact"/>
      <w:ind w:left="284" w:hanging="284"/>
    </w:pPr>
    <w:rPr>
      <w:sz w:val="22"/>
    </w:rPr>
  </w:style>
  <w:style w:type="paragraph" w:styleId="ListBullet2">
    <w:name w:val="List Bullet 2"/>
    <w:basedOn w:val="Normal"/>
    <w:pPr>
      <w:spacing w:after="130" w:line="260" w:lineRule="exact"/>
      <w:ind w:left="568" w:hanging="284"/>
    </w:pPr>
    <w:rPr>
      <w:sz w:val="22"/>
    </w:rPr>
  </w:style>
  <w:style w:type="paragraph" w:styleId="ListNumber2">
    <w:name w:val="List Number 2"/>
    <w:basedOn w:val="ListBullet2"/>
    <w:pPr>
      <w:ind w:left="566" w:hanging="283"/>
    </w:pPr>
  </w:style>
  <w:style w:type="paragraph" w:customStyle="1" w:styleId="FinancialDate">
    <w:name w:val="Financial_Date"/>
    <w:next w:val="Normal"/>
    <w:pPr>
      <w:framePr w:w="5670" w:h="2948" w:hRule="exact" w:vSpace="181" w:wrap="notBeside" w:vAnchor="page" w:hAnchor="page" w:x="3171" w:y="5671" w:anchorLock="1"/>
      <w:suppressAutoHyphens/>
      <w:overflowPunct w:val="0"/>
      <w:autoSpaceDE w:val="0"/>
      <w:autoSpaceDN w:val="0"/>
      <w:adjustRightInd w:val="0"/>
      <w:spacing w:line="440" w:lineRule="exact"/>
      <w:ind w:left="284"/>
      <w:textAlignment w:val="baseline"/>
    </w:pPr>
    <w:rPr>
      <w:rFonts w:ascii="Tms Rmn" w:hAnsi="Tms Rmn"/>
      <w:noProof/>
      <w:lang w:eastAsia="en-US"/>
    </w:rPr>
  </w:style>
  <w:style w:type="paragraph" w:customStyle="1" w:styleId="AlignBrackets">
    <w:name w:val="AlignBrackets"/>
    <w:basedOn w:val="Normal"/>
    <w:pPr>
      <w:ind w:left="153" w:right="170" w:hanging="153"/>
      <w:jc w:val="right"/>
    </w:pPr>
  </w:style>
  <w:style w:type="paragraph" w:customStyle="1" w:styleId="AlignBracketsOne">
    <w:name w:val="AlignBracketsOne"/>
    <w:basedOn w:val="Normal"/>
    <w:pPr>
      <w:ind w:left="153" w:hanging="153"/>
      <w:jc w:val="right"/>
    </w:pPr>
  </w:style>
  <w:style w:type="paragraph" w:customStyle="1" w:styleId="AlignWithoutBrackets">
    <w:name w:val="AlignWithoutBrackets"/>
    <w:basedOn w:val="Tabletext"/>
    <w:pPr>
      <w:jc w:val="right"/>
    </w:pPr>
  </w:style>
  <w:style w:type="paragraph" w:customStyle="1" w:styleId="AlignBracketsTwo">
    <w:name w:val="AlignBracketsTwo"/>
    <w:basedOn w:val="Normal"/>
    <w:pPr>
      <w:ind w:left="153" w:right="57" w:hanging="153"/>
      <w:jc w:val="right"/>
    </w:pPr>
  </w:style>
  <w:style w:type="paragraph" w:customStyle="1" w:styleId="AlignWithoutOne">
    <w:name w:val="AlignWithoutOne"/>
    <w:basedOn w:val="Normal"/>
    <w:pPr>
      <w:ind w:left="153" w:right="57" w:hanging="153"/>
      <w:jc w:val="right"/>
    </w:pPr>
  </w:style>
  <w:style w:type="paragraph" w:customStyle="1" w:styleId="AlignWithoutTwo">
    <w:name w:val="AlignWithoutTwo"/>
    <w:basedOn w:val="Normal"/>
    <w:pPr>
      <w:ind w:left="153" w:right="113" w:hanging="153"/>
      <w:jc w:val="right"/>
    </w:pPr>
  </w:style>
  <w:style w:type="paragraph" w:customStyle="1" w:styleId="LetTLH">
    <w:name w:val="LetTLH"/>
    <w:basedOn w:val="Normal"/>
    <w:next w:val="Normal"/>
    <w:pPr>
      <w:keepLines/>
      <w:tabs>
        <w:tab w:val="left" w:pos="1463"/>
        <w:tab w:val="left" w:pos="4445"/>
        <w:tab w:val="left" w:pos="7326"/>
      </w:tabs>
      <w:spacing w:after="260" w:line="240" w:lineRule="exact"/>
      <w:jc w:val="left"/>
    </w:pPr>
    <w:rPr>
      <w:rFonts w:ascii="Univers 45 Light" w:hAnsi="Univers 45 Light"/>
      <w:sz w:val="16"/>
    </w:rPr>
  </w:style>
  <w:style w:type="paragraph" w:customStyle="1" w:styleId="CoverClientName">
    <w:name w:val="Cover Client Name"/>
    <w:basedOn w:val="Normal"/>
    <w:pPr>
      <w:tabs>
        <w:tab w:val="left" w:pos="-140"/>
      </w:tabs>
      <w:spacing w:before="80" w:after="520"/>
    </w:pPr>
    <w:rPr>
      <w:b/>
      <w:sz w:val="26"/>
    </w:rPr>
  </w:style>
  <w:style w:type="paragraph" w:customStyle="1" w:styleId="ACNotesText">
    <w:name w:val="AC Notes Text"/>
    <w:basedOn w:val="ACText"/>
  </w:style>
  <w:style w:type="paragraph" w:customStyle="1" w:styleId="Tabletext1">
    <w:name w:val="Tabletext1"/>
    <w:basedOn w:val="Normal"/>
    <w:pPr>
      <w:spacing w:before="130"/>
      <w:ind w:right="57"/>
      <w:jc w:val="right"/>
    </w:pPr>
  </w:style>
  <w:style w:type="paragraph" w:customStyle="1" w:styleId="Tabletext2">
    <w:name w:val="Tabletext2"/>
    <w:basedOn w:val="Normal"/>
    <w:pPr>
      <w:spacing w:before="130"/>
      <w:ind w:right="113"/>
      <w:jc w:val="right"/>
    </w:pPr>
  </w:style>
  <w:style w:type="paragraph" w:customStyle="1" w:styleId="ACBullet">
    <w:name w:val="AC Bullet"/>
    <w:basedOn w:val="Normal"/>
    <w:pPr>
      <w:numPr>
        <w:numId w:val="2"/>
      </w:numPr>
      <w:tabs>
        <w:tab w:val="clear" w:pos="360"/>
        <w:tab w:val="left" w:pos="284"/>
      </w:tabs>
      <w:spacing w:before="130"/>
      <w:ind w:left="284" w:hanging="284"/>
    </w:pPr>
    <w:rPr>
      <w:sz w:val="20"/>
    </w:r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Number">
    <w:name w:val="List Number"/>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customStyle="1" w:styleId="CoverSubTitle">
    <w:name w:val="Cover SubTitle"/>
    <w:basedOn w:val="Single"/>
    <w:pPr>
      <w:spacing w:after="0" w:line="440" w:lineRule="exact"/>
      <w:jc w:val="center"/>
    </w:pPr>
    <w:rPr>
      <w:sz w:val="32"/>
      <w:u w:val="none"/>
    </w:rPr>
  </w:style>
  <w:style w:type="paragraph" w:customStyle="1" w:styleId="CoverDate">
    <w:name w:val="Cover Date"/>
    <w:basedOn w:val="Single"/>
    <w:pPr>
      <w:spacing w:after="0" w:line="440" w:lineRule="exact"/>
      <w:jc w:val="center"/>
    </w:pPr>
    <w:rPr>
      <w:sz w:val="32"/>
      <w:u w:val="none"/>
    </w:rPr>
  </w:style>
  <w:style w:type="paragraph" w:styleId="BodyText">
    <w:name w:val="Body Text"/>
    <w:basedOn w:val="Normal"/>
    <w:rPr>
      <w:color w:val="0000FF"/>
    </w:rPr>
  </w:style>
  <w:style w:type="paragraph" w:customStyle="1" w:styleId="KPMGSmalllogo">
    <w:name w:val="KPMG Small logo"/>
    <w:basedOn w:val="Normal"/>
    <w:pPr>
      <w:spacing w:before="360"/>
      <w:jc w:val="left"/>
    </w:pPr>
    <w:rPr>
      <w:rFonts w:ascii="KPMG Logos V0.92" w:hAnsi="KPMG Logos V0.92"/>
      <w:sz w:val="20"/>
    </w:rPr>
  </w:style>
  <w:style w:type="paragraph" w:styleId="BalloonText">
    <w:name w:val="Balloon Text"/>
    <w:basedOn w:val="Normal"/>
    <w:semiHidden/>
    <w:rsid w:val="00984D52"/>
    <w:rPr>
      <w:rFonts w:ascii="Tahoma" w:hAnsi="Tahoma" w:cs="Tahoma"/>
      <w:sz w:val="16"/>
      <w:szCs w:val="16"/>
    </w:rPr>
  </w:style>
  <w:style w:type="character" w:styleId="Strong">
    <w:name w:val="Strong"/>
    <w:qFormat/>
    <w:rsid w:val="000F2724"/>
    <w:rPr>
      <w:b/>
      <w:bCs/>
    </w:rPr>
  </w:style>
  <w:style w:type="paragraph" w:styleId="NormalWeb">
    <w:name w:val="Normal (Web)"/>
    <w:basedOn w:val="Normal"/>
    <w:rsid w:val="000F2724"/>
    <w:pPr>
      <w:overflowPunct/>
      <w:autoSpaceDE/>
      <w:autoSpaceDN/>
      <w:adjustRightInd/>
      <w:spacing w:before="100" w:beforeAutospacing="1" w:after="100" w:afterAutospacing="1"/>
      <w:jc w:val="left"/>
      <w:textAlignment w:val="auto"/>
    </w:pPr>
    <w:rPr>
      <w:sz w:val="31"/>
      <w:szCs w:val="31"/>
      <w:lang w:eastAsia="en-GB"/>
    </w:rPr>
  </w:style>
  <w:style w:type="paragraph" w:customStyle="1" w:styleId="default">
    <w:name w:val="default"/>
    <w:basedOn w:val="Normal"/>
    <w:rsid w:val="000F2724"/>
    <w:pPr>
      <w:overflowPunct/>
      <w:autoSpaceDE/>
      <w:autoSpaceDN/>
      <w:adjustRightInd/>
      <w:spacing w:before="100" w:beforeAutospacing="1" w:after="100" w:afterAutospacing="1"/>
      <w:jc w:val="left"/>
      <w:textAlignment w:val="auto"/>
    </w:pPr>
    <w:rPr>
      <w:sz w:val="31"/>
      <w:szCs w:val="31"/>
      <w:lang w:eastAsia="en-GB"/>
    </w:rPr>
  </w:style>
  <w:style w:type="table" w:styleId="TableGrid">
    <w:name w:val="Table Grid"/>
    <w:basedOn w:val="TableNormal"/>
    <w:rsid w:val="00216BC2"/>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F73AA4"/>
    <w:pPr>
      <w:autoSpaceDE w:val="0"/>
      <w:autoSpaceDN w:val="0"/>
      <w:adjustRightInd w:val="0"/>
    </w:pPr>
    <w:rPr>
      <w:rFonts w:ascii="Georgia" w:hAnsi="Georgia" w:cs="Georgia"/>
      <w:color w:val="000000"/>
      <w:sz w:val="24"/>
      <w:szCs w:val="24"/>
    </w:rPr>
  </w:style>
  <w:style w:type="paragraph" w:customStyle="1" w:styleId="msolistparagraph0">
    <w:name w:val="msolistparagraph"/>
    <w:basedOn w:val="Normal"/>
    <w:rsid w:val="002D78F3"/>
    <w:pPr>
      <w:overflowPunct/>
      <w:autoSpaceDE/>
      <w:autoSpaceDN/>
      <w:adjustRightInd/>
      <w:ind w:left="720"/>
      <w:jc w:val="left"/>
      <w:textAlignment w:val="auto"/>
    </w:pPr>
    <w:rPr>
      <w:rFonts w:ascii="Calibri" w:hAnsi="Calibri"/>
      <w:sz w:val="22"/>
      <w:szCs w:val="22"/>
    </w:rPr>
  </w:style>
  <w:style w:type="character" w:styleId="Hyperlink">
    <w:name w:val="Hyperlink"/>
    <w:rsid w:val="00923A5C"/>
    <w:rPr>
      <w:color w:val="0000FF"/>
      <w:u w:val="single"/>
    </w:rPr>
  </w:style>
  <w:style w:type="character" w:styleId="FollowedHyperlink">
    <w:name w:val="FollowedHyperlink"/>
    <w:rsid w:val="00923A5C"/>
    <w:rPr>
      <w:color w:val="800080"/>
      <w:u w:val="single"/>
    </w:rPr>
  </w:style>
  <w:style w:type="paragraph" w:styleId="CommentText">
    <w:name w:val="annotation text"/>
    <w:basedOn w:val="Normal"/>
    <w:link w:val="CommentTextChar"/>
    <w:rsid w:val="001025C1"/>
    <w:rPr>
      <w:sz w:val="20"/>
      <w:lang w:val="x-none"/>
    </w:rPr>
  </w:style>
  <w:style w:type="character" w:customStyle="1" w:styleId="CommentTextChar">
    <w:name w:val="Comment Text Char"/>
    <w:link w:val="CommentText"/>
    <w:rsid w:val="001025C1"/>
    <w:rPr>
      <w:lang w:eastAsia="en-US"/>
    </w:rPr>
  </w:style>
  <w:style w:type="paragraph" w:styleId="CommentSubject">
    <w:name w:val="annotation subject"/>
    <w:basedOn w:val="CommentText"/>
    <w:next w:val="CommentText"/>
    <w:link w:val="CommentSubjectChar"/>
    <w:rsid w:val="001025C1"/>
    <w:rPr>
      <w:b/>
      <w:bCs/>
    </w:rPr>
  </w:style>
  <w:style w:type="character" w:customStyle="1" w:styleId="CommentSubjectChar">
    <w:name w:val="Comment Subject Char"/>
    <w:link w:val="CommentSubject"/>
    <w:rsid w:val="001025C1"/>
    <w:rPr>
      <w:b/>
      <w:bCs/>
      <w:lang w:eastAsia="en-US"/>
    </w:rPr>
  </w:style>
  <w:style w:type="character" w:customStyle="1" w:styleId="TextChar">
    <w:name w:val="Text Char"/>
    <w:link w:val="Text"/>
    <w:rsid w:val="004C0A14"/>
    <w:rPr>
      <w:sz w:val="22"/>
      <w:lang w:val="en-GB" w:eastAsia="en-US" w:bidi="ar-SA"/>
    </w:rPr>
  </w:style>
  <w:style w:type="character" w:customStyle="1" w:styleId="BulletChar">
    <w:name w:val="Bullet Char"/>
    <w:link w:val="Bullet"/>
    <w:uiPriority w:val="1"/>
    <w:rsid w:val="004C0A14"/>
    <w:rPr>
      <w:sz w:val="18"/>
      <w:lang w:eastAsia="en-US"/>
    </w:rPr>
  </w:style>
  <w:style w:type="paragraph" w:styleId="Revision">
    <w:name w:val="Revision"/>
    <w:hidden/>
    <w:uiPriority w:val="99"/>
    <w:semiHidden/>
    <w:rsid w:val="00141F05"/>
    <w:rPr>
      <w:sz w:val="18"/>
      <w:lang w:eastAsia="en-US"/>
    </w:rPr>
  </w:style>
  <w:style w:type="character" w:customStyle="1" w:styleId="HeaderChar">
    <w:name w:val="Header Char"/>
    <w:link w:val="Header"/>
    <w:uiPriority w:val="99"/>
    <w:rsid w:val="00E1796D"/>
    <w:rPr>
      <w:i/>
      <w:sz w:val="18"/>
      <w:lang w:eastAsia="en-US"/>
    </w:rPr>
  </w:style>
  <w:style w:type="paragraph" w:customStyle="1" w:styleId="1point">
    <w:name w:val="1 point"/>
    <w:basedOn w:val="Normal"/>
    <w:uiPriority w:val="98"/>
    <w:rsid w:val="00997BF4"/>
    <w:pPr>
      <w:numPr>
        <w:numId w:val="19"/>
      </w:numPr>
      <w:overflowPunct/>
      <w:autoSpaceDE/>
      <w:autoSpaceDN/>
      <w:adjustRightInd/>
      <w:jc w:val="center"/>
      <w:textAlignment w:val="auto"/>
    </w:pPr>
    <w:rPr>
      <w:rFonts w:eastAsiaTheme="minorHAnsi"/>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386">
      <w:bodyDiv w:val="1"/>
      <w:marLeft w:val="0"/>
      <w:marRight w:val="0"/>
      <w:marTop w:val="0"/>
      <w:marBottom w:val="0"/>
      <w:divBdr>
        <w:top w:val="none" w:sz="0" w:space="0" w:color="auto"/>
        <w:left w:val="none" w:sz="0" w:space="0" w:color="auto"/>
        <w:bottom w:val="none" w:sz="0" w:space="0" w:color="auto"/>
        <w:right w:val="none" w:sz="0" w:space="0" w:color="auto"/>
      </w:divBdr>
    </w:div>
    <w:div w:id="24016219">
      <w:bodyDiv w:val="1"/>
      <w:marLeft w:val="0"/>
      <w:marRight w:val="0"/>
      <w:marTop w:val="0"/>
      <w:marBottom w:val="0"/>
      <w:divBdr>
        <w:top w:val="none" w:sz="0" w:space="0" w:color="auto"/>
        <w:left w:val="none" w:sz="0" w:space="0" w:color="auto"/>
        <w:bottom w:val="none" w:sz="0" w:space="0" w:color="auto"/>
        <w:right w:val="none" w:sz="0" w:space="0" w:color="auto"/>
      </w:divBdr>
    </w:div>
    <w:div w:id="29112112">
      <w:bodyDiv w:val="1"/>
      <w:marLeft w:val="0"/>
      <w:marRight w:val="0"/>
      <w:marTop w:val="0"/>
      <w:marBottom w:val="0"/>
      <w:divBdr>
        <w:top w:val="none" w:sz="0" w:space="0" w:color="auto"/>
        <w:left w:val="none" w:sz="0" w:space="0" w:color="auto"/>
        <w:bottom w:val="none" w:sz="0" w:space="0" w:color="auto"/>
        <w:right w:val="none" w:sz="0" w:space="0" w:color="auto"/>
      </w:divBdr>
    </w:div>
    <w:div w:id="29453556">
      <w:bodyDiv w:val="1"/>
      <w:marLeft w:val="0"/>
      <w:marRight w:val="0"/>
      <w:marTop w:val="0"/>
      <w:marBottom w:val="0"/>
      <w:divBdr>
        <w:top w:val="none" w:sz="0" w:space="0" w:color="auto"/>
        <w:left w:val="none" w:sz="0" w:space="0" w:color="auto"/>
        <w:bottom w:val="none" w:sz="0" w:space="0" w:color="auto"/>
        <w:right w:val="none" w:sz="0" w:space="0" w:color="auto"/>
      </w:divBdr>
    </w:div>
    <w:div w:id="38289070">
      <w:bodyDiv w:val="1"/>
      <w:marLeft w:val="0"/>
      <w:marRight w:val="0"/>
      <w:marTop w:val="0"/>
      <w:marBottom w:val="0"/>
      <w:divBdr>
        <w:top w:val="none" w:sz="0" w:space="0" w:color="auto"/>
        <w:left w:val="none" w:sz="0" w:space="0" w:color="auto"/>
        <w:bottom w:val="none" w:sz="0" w:space="0" w:color="auto"/>
        <w:right w:val="none" w:sz="0" w:space="0" w:color="auto"/>
      </w:divBdr>
    </w:div>
    <w:div w:id="42101347">
      <w:bodyDiv w:val="1"/>
      <w:marLeft w:val="0"/>
      <w:marRight w:val="0"/>
      <w:marTop w:val="0"/>
      <w:marBottom w:val="0"/>
      <w:divBdr>
        <w:top w:val="none" w:sz="0" w:space="0" w:color="auto"/>
        <w:left w:val="none" w:sz="0" w:space="0" w:color="auto"/>
        <w:bottom w:val="none" w:sz="0" w:space="0" w:color="auto"/>
        <w:right w:val="none" w:sz="0" w:space="0" w:color="auto"/>
      </w:divBdr>
    </w:div>
    <w:div w:id="43413870">
      <w:bodyDiv w:val="1"/>
      <w:marLeft w:val="0"/>
      <w:marRight w:val="0"/>
      <w:marTop w:val="0"/>
      <w:marBottom w:val="0"/>
      <w:divBdr>
        <w:top w:val="none" w:sz="0" w:space="0" w:color="auto"/>
        <w:left w:val="none" w:sz="0" w:space="0" w:color="auto"/>
        <w:bottom w:val="none" w:sz="0" w:space="0" w:color="auto"/>
        <w:right w:val="none" w:sz="0" w:space="0" w:color="auto"/>
      </w:divBdr>
    </w:div>
    <w:div w:id="46032628">
      <w:bodyDiv w:val="1"/>
      <w:marLeft w:val="0"/>
      <w:marRight w:val="0"/>
      <w:marTop w:val="0"/>
      <w:marBottom w:val="0"/>
      <w:divBdr>
        <w:top w:val="none" w:sz="0" w:space="0" w:color="auto"/>
        <w:left w:val="none" w:sz="0" w:space="0" w:color="auto"/>
        <w:bottom w:val="none" w:sz="0" w:space="0" w:color="auto"/>
        <w:right w:val="none" w:sz="0" w:space="0" w:color="auto"/>
      </w:divBdr>
    </w:div>
    <w:div w:id="57480822">
      <w:bodyDiv w:val="1"/>
      <w:marLeft w:val="0"/>
      <w:marRight w:val="0"/>
      <w:marTop w:val="0"/>
      <w:marBottom w:val="0"/>
      <w:divBdr>
        <w:top w:val="none" w:sz="0" w:space="0" w:color="auto"/>
        <w:left w:val="none" w:sz="0" w:space="0" w:color="auto"/>
        <w:bottom w:val="none" w:sz="0" w:space="0" w:color="auto"/>
        <w:right w:val="none" w:sz="0" w:space="0" w:color="auto"/>
      </w:divBdr>
    </w:div>
    <w:div w:id="77604155">
      <w:bodyDiv w:val="1"/>
      <w:marLeft w:val="0"/>
      <w:marRight w:val="0"/>
      <w:marTop w:val="0"/>
      <w:marBottom w:val="0"/>
      <w:divBdr>
        <w:top w:val="none" w:sz="0" w:space="0" w:color="auto"/>
        <w:left w:val="none" w:sz="0" w:space="0" w:color="auto"/>
        <w:bottom w:val="none" w:sz="0" w:space="0" w:color="auto"/>
        <w:right w:val="none" w:sz="0" w:space="0" w:color="auto"/>
      </w:divBdr>
    </w:div>
    <w:div w:id="98378346">
      <w:bodyDiv w:val="1"/>
      <w:marLeft w:val="0"/>
      <w:marRight w:val="0"/>
      <w:marTop w:val="0"/>
      <w:marBottom w:val="0"/>
      <w:divBdr>
        <w:top w:val="none" w:sz="0" w:space="0" w:color="auto"/>
        <w:left w:val="none" w:sz="0" w:space="0" w:color="auto"/>
        <w:bottom w:val="none" w:sz="0" w:space="0" w:color="auto"/>
        <w:right w:val="none" w:sz="0" w:space="0" w:color="auto"/>
      </w:divBdr>
    </w:div>
    <w:div w:id="99036150">
      <w:bodyDiv w:val="1"/>
      <w:marLeft w:val="0"/>
      <w:marRight w:val="0"/>
      <w:marTop w:val="0"/>
      <w:marBottom w:val="0"/>
      <w:divBdr>
        <w:top w:val="none" w:sz="0" w:space="0" w:color="auto"/>
        <w:left w:val="none" w:sz="0" w:space="0" w:color="auto"/>
        <w:bottom w:val="none" w:sz="0" w:space="0" w:color="auto"/>
        <w:right w:val="none" w:sz="0" w:space="0" w:color="auto"/>
      </w:divBdr>
    </w:div>
    <w:div w:id="107697401">
      <w:bodyDiv w:val="1"/>
      <w:marLeft w:val="0"/>
      <w:marRight w:val="0"/>
      <w:marTop w:val="0"/>
      <w:marBottom w:val="0"/>
      <w:divBdr>
        <w:top w:val="none" w:sz="0" w:space="0" w:color="auto"/>
        <w:left w:val="none" w:sz="0" w:space="0" w:color="auto"/>
        <w:bottom w:val="none" w:sz="0" w:space="0" w:color="auto"/>
        <w:right w:val="none" w:sz="0" w:space="0" w:color="auto"/>
      </w:divBdr>
    </w:div>
    <w:div w:id="121846299">
      <w:bodyDiv w:val="1"/>
      <w:marLeft w:val="0"/>
      <w:marRight w:val="0"/>
      <w:marTop w:val="0"/>
      <w:marBottom w:val="0"/>
      <w:divBdr>
        <w:top w:val="none" w:sz="0" w:space="0" w:color="auto"/>
        <w:left w:val="none" w:sz="0" w:space="0" w:color="auto"/>
        <w:bottom w:val="none" w:sz="0" w:space="0" w:color="auto"/>
        <w:right w:val="none" w:sz="0" w:space="0" w:color="auto"/>
      </w:divBdr>
    </w:div>
    <w:div w:id="125196985">
      <w:bodyDiv w:val="1"/>
      <w:marLeft w:val="0"/>
      <w:marRight w:val="0"/>
      <w:marTop w:val="0"/>
      <w:marBottom w:val="0"/>
      <w:divBdr>
        <w:top w:val="none" w:sz="0" w:space="0" w:color="auto"/>
        <w:left w:val="none" w:sz="0" w:space="0" w:color="auto"/>
        <w:bottom w:val="none" w:sz="0" w:space="0" w:color="auto"/>
        <w:right w:val="none" w:sz="0" w:space="0" w:color="auto"/>
      </w:divBdr>
    </w:div>
    <w:div w:id="127013597">
      <w:bodyDiv w:val="1"/>
      <w:marLeft w:val="0"/>
      <w:marRight w:val="0"/>
      <w:marTop w:val="0"/>
      <w:marBottom w:val="0"/>
      <w:divBdr>
        <w:top w:val="none" w:sz="0" w:space="0" w:color="auto"/>
        <w:left w:val="none" w:sz="0" w:space="0" w:color="auto"/>
        <w:bottom w:val="none" w:sz="0" w:space="0" w:color="auto"/>
        <w:right w:val="none" w:sz="0" w:space="0" w:color="auto"/>
      </w:divBdr>
    </w:div>
    <w:div w:id="134221074">
      <w:bodyDiv w:val="1"/>
      <w:marLeft w:val="0"/>
      <w:marRight w:val="0"/>
      <w:marTop w:val="0"/>
      <w:marBottom w:val="0"/>
      <w:divBdr>
        <w:top w:val="none" w:sz="0" w:space="0" w:color="auto"/>
        <w:left w:val="none" w:sz="0" w:space="0" w:color="auto"/>
        <w:bottom w:val="none" w:sz="0" w:space="0" w:color="auto"/>
        <w:right w:val="none" w:sz="0" w:space="0" w:color="auto"/>
      </w:divBdr>
      <w:divsChild>
        <w:div w:id="1138186927">
          <w:marLeft w:val="0"/>
          <w:marRight w:val="0"/>
          <w:marTop w:val="45"/>
          <w:marBottom w:val="180"/>
          <w:divBdr>
            <w:top w:val="single" w:sz="18" w:space="11" w:color="4E4E4E"/>
            <w:left w:val="none" w:sz="0" w:space="0" w:color="auto"/>
            <w:bottom w:val="none" w:sz="0" w:space="0" w:color="auto"/>
            <w:right w:val="none" w:sz="0" w:space="0" w:color="auto"/>
          </w:divBdr>
          <w:divsChild>
            <w:div w:id="97336489">
              <w:marLeft w:val="150"/>
              <w:marRight w:val="0"/>
              <w:marTop w:val="0"/>
              <w:marBottom w:val="225"/>
              <w:divBdr>
                <w:top w:val="none" w:sz="0" w:space="0" w:color="auto"/>
                <w:left w:val="none" w:sz="0" w:space="0" w:color="auto"/>
                <w:bottom w:val="none" w:sz="0" w:space="0" w:color="auto"/>
                <w:right w:val="none" w:sz="0" w:space="0" w:color="auto"/>
              </w:divBdr>
              <w:divsChild>
                <w:div w:id="92592247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42084628">
      <w:bodyDiv w:val="1"/>
      <w:marLeft w:val="0"/>
      <w:marRight w:val="0"/>
      <w:marTop w:val="0"/>
      <w:marBottom w:val="0"/>
      <w:divBdr>
        <w:top w:val="none" w:sz="0" w:space="0" w:color="auto"/>
        <w:left w:val="none" w:sz="0" w:space="0" w:color="auto"/>
        <w:bottom w:val="none" w:sz="0" w:space="0" w:color="auto"/>
        <w:right w:val="none" w:sz="0" w:space="0" w:color="auto"/>
      </w:divBdr>
    </w:div>
    <w:div w:id="147672489">
      <w:bodyDiv w:val="1"/>
      <w:marLeft w:val="0"/>
      <w:marRight w:val="0"/>
      <w:marTop w:val="0"/>
      <w:marBottom w:val="0"/>
      <w:divBdr>
        <w:top w:val="none" w:sz="0" w:space="0" w:color="auto"/>
        <w:left w:val="none" w:sz="0" w:space="0" w:color="auto"/>
        <w:bottom w:val="none" w:sz="0" w:space="0" w:color="auto"/>
        <w:right w:val="none" w:sz="0" w:space="0" w:color="auto"/>
      </w:divBdr>
    </w:div>
    <w:div w:id="149178115">
      <w:bodyDiv w:val="1"/>
      <w:marLeft w:val="0"/>
      <w:marRight w:val="0"/>
      <w:marTop w:val="0"/>
      <w:marBottom w:val="0"/>
      <w:divBdr>
        <w:top w:val="none" w:sz="0" w:space="0" w:color="auto"/>
        <w:left w:val="none" w:sz="0" w:space="0" w:color="auto"/>
        <w:bottom w:val="none" w:sz="0" w:space="0" w:color="auto"/>
        <w:right w:val="none" w:sz="0" w:space="0" w:color="auto"/>
      </w:divBdr>
    </w:div>
    <w:div w:id="165946446">
      <w:bodyDiv w:val="1"/>
      <w:marLeft w:val="0"/>
      <w:marRight w:val="0"/>
      <w:marTop w:val="0"/>
      <w:marBottom w:val="0"/>
      <w:divBdr>
        <w:top w:val="none" w:sz="0" w:space="0" w:color="auto"/>
        <w:left w:val="none" w:sz="0" w:space="0" w:color="auto"/>
        <w:bottom w:val="none" w:sz="0" w:space="0" w:color="auto"/>
        <w:right w:val="none" w:sz="0" w:space="0" w:color="auto"/>
      </w:divBdr>
    </w:div>
    <w:div w:id="181673562">
      <w:bodyDiv w:val="1"/>
      <w:marLeft w:val="0"/>
      <w:marRight w:val="0"/>
      <w:marTop w:val="0"/>
      <w:marBottom w:val="0"/>
      <w:divBdr>
        <w:top w:val="none" w:sz="0" w:space="0" w:color="auto"/>
        <w:left w:val="none" w:sz="0" w:space="0" w:color="auto"/>
        <w:bottom w:val="none" w:sz="0" w:space="0" w:color="auto"/>
        <w:right w:val="none" w:sz="0" w:space="0" w:color="auto"/>
      </w:divBdr>
    </w:div>
    <w:div w:id="189610647">
      <w:bodyDiv w:val="1"/>
      <w:marLeft w:val="0"/>
      <w:marRight w:val="0"/>
      <w:marTop w:val="0"/>
      <w:marBottom w:val="0"/>
      <w:divBdr>
        <w:top w:val="none" w:sz="0" w:space="0" w:color="auto"/>
        <w:left w:val="none" w:sz="0" w:space="0" w:color="auto"/>
        <w:bottom w:val="none" w:sz="0" w:space="0" w:color="auto"/>
        <w:right w:val="none" w:sz="0" w:space="0" w:color="auto"/>
      </w:divBdr>
    </w:div>
    <w:div w:id="191000992">
      <w:bodyDiv w:val="1"/>
      <w:marLeft w:val="0"/>
      <w:marRight w:val="0"/>
      <w:marTop w:val="0"/>
      <w:marBottom w:val="0"/>
      <w:divBdr>
        <w:top w:val="none" w:sz="0" w:space="0" w:color="auto"/>
        <w:left w:val="none" w:sz="0" w:space="0" w:color="auto"/>
        <w:bottom w:val="none" w:sz="0" w:space="0" w:color="auto"/>
        <w:right w:val="none" w:sz="0" w:space="0" w:color="auto"/>
      </w:divBdr>
    </w:div>
    <w:div w:id="201484825">
      <w:bodyDiv w:val="1"/>
      <w:marLeft w:val="0"/>
      <w:marRight w:val="0"/>
      <w:marTop w:val="0"/>
      <w:marBottom w:val="0"/>
      <w:divBdr>
        <w:top w:val="none" w:sz="0" w:space="0" w:color="auto"/>
        <w:left w:val="none" w:sz="0" w:space="0" w:color="auto"/>
        <w:bottom w:val="none" w:sz="0" w:space="0" w:color="auto"/>
        <w:right w:val="none" w:sz="0" w:space="0" w:color="auto"/>
      </w:divBdr>
    </w:div>
    <w:div w:id="203756634">
      <w:bodyDiv w:val="1"/>
      <w:marLeft w:val="0"/>
      <w:marRight w:val="0"/>
      <w:marTop w:val="0"/>
      <w:marBottom w:val="0"/>
      <w:divBdr>
        <w:top w:val="none" w:sz="0" w:space="0" w:color="auto"/>
        <w:left w:val="none" w:sz="0" w:space="0" w:color="auto"/>
        <w:bottom w:val="none" w:sz="0" w:space="0" w:color="auto"/>
        <w:right w:val="none" w:sz="0" w:space="0" w:color="auto"/>
      </w:divBdr>
    </w:div>
    <w:div w:id="211507969">
      <w:bodyDiv w:val="1"/>
      <w:marLeft w:val="0"/>
      <w:marRight w:val="0"/>
      <w:marTop w:val="0"/>
      <w:marBottom w:val="0"/>
      <w:divBdr>
        <w:top w:val="none" w:sz="0" w:space="0" w:color="auto"/>
        <w:left w:val="none" w:sz="0" w:space="0" w:color="auto"/>
        <w:bottom w:val="none" w:sz="0" w:space="0" w:color="auto"/>
        <w:right w:val="none" w:sz="0" w:space="0" w:color="auto"/>
      </w:divBdr>
    </w:div>
    <w:div w:id="225186755">
      <w:bodyDiv w:val="1"/>
      <w:marLeft w:val="0"/>
      <w:marRight w:val="0"/>
      <w:marTop w:val="0"/>
      <w:marBottom w:val="0"/>
      <w:divBdr>
        <w:top w:val="none" w:sz="0" w:space="0" w:color="auto"/>
        <w:left w:val="none" w:sz="0" w:space="0" w:color="auto"/>
        <w:bottom w:val="none" w:sz="0" w:space="0" w:color="auto"/>
        <w:right w:val="none" w:sz="0" w:space="0" w:color="auto"/>
      </w:divBdr>
    </w:div>
    <w:div w:id="228350190">
      <w:bodyDiv w:val="1"/>
      <w:marLeft w:val="0"/>
      <w:marRight w:val="0"/>
      <w:marTop w:val="0"/>
      <w:marBottom w:val="0"/>
      <w:divBdr>
        <w:top w:val="none" w:sz="0" w:space="0" w:color="auto"/>
        <w:left w:val="none" w:sz="0" w:space="0" w:color="auto"/>
        <w:bottom w:val="none" w:sz="0" w:space="0" w:color="auto"/>
        <w:right w:val="none" w:sz="0" w:space="0" w:color="auto"/>
      </w:divBdr>
    </w:div>
    <w:div w:id="232131430">
      <w:bodyDiv w:val="1"/>
      <w:marLeft w:val="0"/>
      <w:marRight w:val="0"/>
      <w:marTop w:val="0"/>
      <w:marBottom w:val="0"/>
      <w:divBdr>
        <w:top w:val="none" w:sz="0" w:space="0" w:color="auto"/>
        <w:left w:val="none" w:sz="0" w:space="0" w:color="auto"/>
        <w:bottom w:val="none" w:sz="0" w:space="0" w:color="auto"/>
        <w:right w:val="none" w:sz="0" w:space="0" w:color="auto"/>
      </w:divBdr>
    </w:div>
    <w:div w:id="236865578">
      <w:bodyDiv w:val="1"/>
      <w:marLeft w:val="0"/>
      <w:marRight w:val="0"/>
      <w:marTop w:val="0"/>
      <w:marBottom w:val="0"/>
      <w:divBdr>
        <w:top w:val="none" w:sz="0" w:space="0" w:color="auto"/>
        <w:left w:val="none" w:sz="0" w:space="0" w:color="auto"/>
        <w:bottom w:val="none" w:sz="0" w:space="0" w:color="auto"/>
        <w:right w:val="none" w:sz="0" w:space="0" w:color="auto"/>
      </w:divBdr>
    </w:div>
    <w:div w:id="241530761">
      <w:bodyDiv w:val="1"/>
      <w:marLeft w:val="0"/>
      <w:marRight w:val="0"/>
      <w:marTop w:val="0"/>
      <w:marBottom w:val="0"/>
      <w:divBdr>
        <w:top w:val="none" w:sz="0" w:space="0" w:color="auto"/>
        <w:left w:val="none" w:sz="0" w:space="0" w:color="auto"/>
        <w:bottom w:val="none" w:sz="0" w:space="0" w:color="auto"/>
        <w:right w:val="none" w:sz="0" w:space="0" w:color="auto"/>
      </w:divBdr>
    </w:div>
    <w:div w:id="246961237">
      <w:bodyDiv w:val="1"/>
      <w:marLeft w:val="0"/>
      <w:marRight w:val="0"/>
      <w:marTop w:val="0"/>
      <w:marBottom w:val="0"/>
      <w:divBdr>
        <w:top w:val="none" w:sz="0" w:space="0" w:color="auto"/>
        <w:left w:val="none" w:sz="0" w:space="0" w:color="auto"/>
        <w:bottom w:val="none" w:sz="0" w:space="0" w:color="auto"/>
        <w:right w:val="none" w:sz="0" w:space="0" w:color="auto"/>
      </w:divBdr>
    </w:div>
    <w:div w:id="254173531">
      <w:bodyDiv w:val="1"/>
      <w:marLeft w:val="0"/>
      <w:marRight w:val="0"/>
      <w:marTop w:val="0"/>
      <w:marBottom w:val="0"/>
      <w:divBdr>
        <w:top w:val="none" w:sz="0" w:space="0" w:color="auto"/>
        <w:left w:val="none" w:sz="0" w:space="0" w:color="auto"/>
        <w:bottom w:val="none" w:sz="0" w:space="0" w:color="auto"/>
        <w:right w:val="none" w:sz="0" w:space="0" w:color="auto"/>
      </w:divBdr>
    </w:div>
    <w:div w:id="269775242">
      <w:bodyDiv w:val="1"/>
      <w:marLeft w:val="0"/>
      <w:marRight w:val="0"/>
      <w:marTop w:val="0"/>
      <w:marBottom w:val="0"/>
      <w:divBdr>
        <w:top w:val="none" w:sz="0" w:space="0" w:color="auto"/>
        <w:left w:val="none" w:sz="0" w:space="0" w:color="auto"/>
        <w:bottom w:val="none" w:sz="0" w:space="0" w:color="auto"/>
        <w:right w:val="none" w:sz="0" w:space="0" w:color="auto"/>
      </w:divBdr>
    </w:div>
    <w:div w:id="272174082">
      <w:bodyDiv w:val="1"/>
      <w:marLeft w:val="0"/>
      <w:marRight w:val="0"/>
      <w:marTop w:val="0"/>
      <w:marBottom w:val="0"/>
      <w:divBdr>
        <w:top w:val="none" w:sz="0" w:space="0" w:color="auto"/>
        <w:left w:val="none" w:sz="0" w:space="0" w:color="auto"/>
        <w:bottom w:val="none" w:sz="0" w:space="0" w:color="auto"/>
        <w:right w:val="none" w:sz="0" w:space="0" w:color="auto"/>
      </w:divBdr>
    </w:div>
    <w:div w:id="272782787">
      <w:bodyDiv w:val="1"/>
      <w:marLeft w:val="0"/>
      <w:marRight w:val="0"/>
      <w:marTop w:val="0"/>
      <w:marBottom w:val="0"/>
      <w:divBdr>
        <w:top w:val="none" w:sz="0" w:space="0" w:color="auto"/>
        <w:left w:val="none" w:sz="0" w:space="0" w:color="auto"/>
        <w:bottom w:val="none" w:sz="0" w:space="0" w:color="auto"/>
        <w:right w:val="none" w:sz="0" w:space="0" w:color="auto"/>
      </w:divBdr>
    </w:div>
    <w:div w:id="275528797">
      <w:bodyDiv w:val="1"/>
      <w:marLeft w:val="0"/>
      <w:marRight w:val="0"/>
      <w:marTop w:val="0"/>
      <w:marBottom w:val="0"/>
      <w:divBdr>
        <w:top w:val="none" w:sz="0" w:space="0" w:color="auto"/>
        <w:left w:val="none" w:sz="0" w:space="0" w:color="auto"/>
        <w:bottom w:val="none" w:sz="0" w:space="0" w:color="auto"/>
        <w:right w:val="none" w:sz="0" w:space="0" w:color="auto"/>
      </w:divBdr>
    </w:div>
    <w:div w:id="306010075">
      <w:bodyDiv w:val="1"/>
      <w:marLeft w:val="0"/>
      <w:marRight w:val="0"/>
      <w:marTop w:val="0"/>
      <w:marBottom w:val="0"/>
      <w:divBdr>
        <w:top w:val="none" w:sz="0" w:space="0" w:color="auto"/>
        <w:left w:val="none" w:sz="0" w:space="0" w:color="auto"/>
        <w:bottom w:val="none" w:sz="0" w:space="0" w:color="auto"/>
        <w:right w:val="none" w:sz="0" w:space="0" w:color="auto"/>
      </w:divBdr>
    </w:div>
    <w:div w:id="307175548">
      <w:bodyDiv w:val="1"/>
      <w:marLeft w:val="0"/>
      <w:marRight w:val="0"/>
      <w:marTop w:val="0"/>
      <w:marBottom w:val="0"/>
      <w:divBdr>
        <w:top w:val="none" w:sz="0" w:space="0" w:color="auto"/>
        <w:left w:val="none" w:sz="0" w:space="0" w:color="auto"/>
        <w:bottom w:val="none" w:sz="0" w:space="0" w:color="auto"/>
        <w:right w:val="none" w:sz="0" w:space="0" w:color="auto"/>
      </w:divBdr>
    </w:div>
    <w:div w:id="310526163">
      <w:bodyDiv w:val="1"/>
      <w:marLeft w:val="0"/>
      <w:marRight w:val="0"/>
      <w:marTop w:val="0"/>
      <w:marBottom w:val="0"/>
      <w:divBdr>
        <w:top w:val="none" w:sz="0" w:space="0" w:color="auto"/>
        <w:left w:val="none" w:sz="0" w:space="0" w:color="auto"/>
        <w:bottom w:val="none" w:sz="0" w:space="0" w:color="auto"/>
        <w:right w:val="none" w:sz="0" w:space="0" w:color="auto"/>
      </w:divBdr>
      <w:divsChild>
        <w:div w:id="933319489">
          <w:marLeft w:val="0"/>
          <w:marRight w:val="0"/>
          <w:marTop w:val="45"/>
          <w:marBottom w:val="180"/>
          <w:divBdr>
            <w:top w:val="single" w:sz="18" w:space="11" w:color="4E4E4E"/>
            <w:left w:val="none" w:sz="0" w:space="0" w:color="auto"/>
            <w:bottom w:val="none" w:sz="0" w:space="0" w:color="auto"/>
            <w:right w:val="none" w:sz="0" w:space="0" w:color="auto"/>
          </w:divBdr>
          <w:divsChild>
            <w:div w:id="1960725557">
              <w:marLeft w:val="150"/>
              <w:marRight w:val="0"/>
              <w:marTop w:val="0"/>
              <w:marBottom w:val="225"/>
              <w:divBdr>
                <w:top w:val="none" w:sz="0" w:space="0" w:color="auto"/>
                <w:left w:val="none" w:sz="0" w:space="0" w:color="auto"/>
                <w:bottom w:val="none" w:sz="0" w:space="0" w:color="auto"/>
                <w:right w:val="none" w:sz="0" w:space="0" w:color="auto"/>
              </w:divBdr>
              <w:divsChild>
                <w:div w:id="66493937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314918149">
      <w:bodyDiv w:val="1"/>
      <w:marLeft w:val="0"/>
      <w:marRight w:val="0"/>
      <w:marTop w:val="0"/>
      <w:marBottom w:val="0"/>
      <w:divBdr>
        <w:top w:val="none" w:sz="0" w:space="0" w:color="auto"/>
        <w:left w:val="none" w:sz="0" w:space="0" w:color="auto"/>
        <w:bottom w:val="none" w:sz="0" w:space="0" w:color="auto"/>
        <w:right w:val="none" w:sz="0" w:space="0" w:color="auto"/>
      </w:divBdr>
    </w:div>
    <w:div w:id="317658539">
      <w:bodyDiv w:val="1"/>
      <w:marLeft w:val="0"/>
      <w:marRight w:val="0"/>
      <w:marTop w:val="0"/>
      <w:marBottom w:val="0"/>
      <w:divBdr>
        <w:top w:val="none" w:sz="0" w:space="0" w:color="auto"/>
        <w:left w:val="none" w:sz="0" w:space="0" w:color="auto"/>
        <w:bottom w:val="none" w:sz="0" w:space="0" w:color="auto"/>
        <w:right w:val="none" w:sz="0" w:space="0" w:color="auto"/>
      </w:divBdr>
    </w:div>
    <w:div w:id="344017579">
      <w:bodyDiv w:val="1"/>
      <w:marLeft w:val="0"/>
      <w:marRight w:val="0"/>
      <w:marTop w:val="0"/>
      <w:marBottom w:val="0"/>
      <w:divBdr>
        <w:top w:val="none" w:sz="0" w:space="0" w:color="auto"/>
        <w:left w:val="none" w:sz="0" w:space="0" w:color="auto"/>
        <w:bottom w:val="none" w:sz="0" w:space="0" w:color="auto"/>
        <w:right w:val="none" w:sz="0" w:space="0" w:color="auto"/>
      </w:divBdr>
    </w:div>
    <w:div w:id="344406681">
      <w:bodyDiv w:val="1"/>
      <w:marLeft w:val="0"/>
      <w:marRight w:val="0"/>
      <w:marTop w:val="0"/>
      <w:marBottom w:val="0"/>
      <w:divBdr>
        <w:top w:val="none" w:sz="0" w:space="0" w:color="auto"/>
        <w:left w:val="none" w:sz="0" w:space="0" w:color="auto"/>
        <w:bottom w:val="none" w:sz="0" w:space="0" w:color="auto"/>
        <w:right w:val="none" w:sz="0" w:space="0" w:color="auto"/>
      </w:divBdr>
    </w:div>
    <w:div w:id="346910506">
      <w:bodyDiv w:val="1"/>
      <w:marLeft w:val="0"/>
      <w:marRight w:val="0"/>
      <w:marTop w:val="0"/>
      <w:marBottom w:val="0"/>
      <w:divBdr>
        <w:top w:val="none" w:sz="0" w:space="0" w:color="auto"/>
        <w:left w:val="none" w:sz="0" w:space="0" w:color="auto"/>
        <w:bottom w:val="none" w:sz="0" w:space="0" w:color="auto"/>
        <w:right w:val="none" w:sz="0" w:space="0" w:color="auto"/>
      </w:divBdr>
    </w:div>
    <w:div w:id="347874665">
      <w:bodyDiv w:val="1"/>
      <w:marLeft w:val="0"/>
      <w:marRight w:val="0"/>
      <w:marTop w:val="0"/>
      <w:marBottom w:val="0"/>
      <w:divBdr>
        <w:top w:val="none" w:sz="0" w:space="0" w:color="auto"/>
        <w:left w:val="none" w:sz="0" w:space="0" w:color="auto"/>
        <w:bottom w:val="none" w:sz="0" w:space="0" w:color="auto"/>
        <w:right w:val="none" w:sz="0" w:space="0" w:color="auto"/>
      </w:divBdr>
      <w:divsChild>
        <w:div w:id="1738629314">
          <w:marLeft w:val="0"/>
          <w:marRight w:val="0"/>
          <w:marTop w:val="45"/>
          <w:marBottom w:val="180"/>
          <w:divBdr>
            <w:top w:val="single" w:sz="18" w:space="11" w:color="4E4E4E"/>
            <w:left w:val="none" w:sz="0" w:space="0" w:color="auto"/>
            <w:bottom w:val="none" w:sz="0" w:space="0" w:color="auto"/>
            <w:right w:val="none" w:sz="0" w:space="0" w:color="auto"/>
          </w:divBdr>
          <w:divsChild>
            <w:div w:id="1776167978">
              <w:marLeft w:val="150"/>
              <w:marRight w:val="0"/>
              <w:marTop w:val="0"/>
              <w:marBottom w:val="225"/>
              <w:divBdr>
                <w:top w:val="none" w:sz="0" w:space="0" w:color="auto"/>
                <w:left w:val="none" w:sz="0" w:space="0" w:color="auto"/>
                <w:bottom w:val="none" w:sz="0" w:space="0" w:color="auto"/>
                <w:right w:val="none" w:sz="0" w:space="0" w:color="auto"/>
              </w:divBdr>
              <w:divsChild>
                <w:div w:id="201256698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366376362">
      <w:bodyDiv w:val="1"/>
      <w:marLeft w:val="0"/>
      <w:marRight w:val="0"/>
      <w:marTop w:val="0"/>
      <w:marBottom w:val="0"/>
      <w:divBdr>
        <w:top w:val="none" w:sz="0" w:space="0" w:color="auto"/>
        <w:left w:val="none" w:sz="0" w:space="0" w:color="auto"/>
        <w:bottom w:val="none" w:sz="0" w:space="0" w:color="auto"/>
        <w:right w:val="none" w:sz="0" w:space="0" w:color="auto"/>
      </w:divBdr>
    </w:div>
    <w:div w:id="376052942">
      <w:bodyDiv w:val="1"/>
      <w:marLeft w:val="0"/>
      <w:marRight w:val="0"/>
      <w:marTop w:val="0"/>
      <w:marBottom w:val="0"/>
      <w:divBdr>
        <w:top w:val="none" w:sz="0" w:space="0" w:color="auto"/>
        <w:left w:val="none" w:sz="0" w:space="0" w:color="auto"/>
        <w:bottom w:val="none" w:sz="0" w:space="0" w:color="auto"/>
        <w:right w:val="none" w:sz="0" w:space="0" w:color="auto"/>
      </w:divBdr>
    </w:div>
    <w:div w:id="376203260">
      <w:bodyDiv w:val="1"/>
      <w:marLeft w:val="0"/>
      <w:marRight w:val="0"/>
      <w:marTop w:val="0"/>
      <w:marBottom w:val="0"/>
      <w:divBdr>
        <w:top w:val="none" w:sz="0" w:space="0" w:color="auto"/>
        <w:left w:val="none" w:sz="0" w:space="0" w:color="auto"/>
        <w:bottom w:val="none" w:sz="0" w:space="0" w:color="auto"/>
        <w:right w:val="none" w:sz="0" w:space="0" w:color="auto"/>
      </w:divBdr>
    </w:div>
    <w:div w:id="398788743">
      <w:bodyDiv w:val="1"/>
      <w:marLeft w:val="0"/>
      <w:marRight w:val="0"/>
      <w:marTop w:val="0"/>
      <w:marBottom w:val="0"/>
      <w:divBdr>
        <w:top w:val="none" w:sz="0" w:space="0" w:color="auto"/>
        <w:left w:val="none" w:sz="0" w:space="0" w:color="auto"/>
        <w:bottom w:val="none" w:sz="0" w:space="0" w:color="auto"/>
        <w:right w:val="none" w:sz="0" w:space="0" w:color="auto"/>
      </w:divBdr>
    </w:div>
    <w:div w:id="401217392">
      <w:bodyDiv w:val="1"/>
      <w:marLeft w:val="0"/>
      <w:marRight w:val="0"/>
      <w:marTop w:val="0"/>
      <w:marBottom w:val="0"/>
      <w:divBdr>
        <w:top w:val="none" w:sz="0" w:space="0" w:color="auto"/>
        <w:left w:val="none" w:sz="0" w:space="0" w:color="auto"/>
        <w:bottom w:val="none" w:sz="0" w:space="0" w:color="auto"/>
        <w:right w:val="none" w:sz="0" w:space="0" w:color="auto"/>
      </w:divBdr>
    </w:div>
    <w:div w:id="416249427">
      <w:bodyDiv w:val="1"/>
      <w:marLeft w:val="0"/>
      <w:marRight w:val="0"/>
      <w:marTop w:val="0"/>
      <w:marBottom w:val="0"/>
      <w:divBdr>
        <w:top w:val="none" w:sz="0" w:space="0" w:color="auto"/>
        <w:left w:val="none" w:sz="0" w:space="0" w:color="auto"/>
        <w:bottom w:val="none" w:sz="0" w:space="0" w:color="auto"/>
        <w:right w:val="none" w:sz="0" w:space="0" w:color="auto"/>
      </w:divBdr>
    </w:div>
    <w:div w:id="428550451">
      <w:bodyDiv w:val="1"/>
      <w:marLeft w:val="0"/>
      <w:marRight w:val="0"/>
      <w:marTop w:val="0"/>
      <w:marBottom w:val="0"/>
      <w:divBdr>
        <w:top w:val="none" w:sz="0" w:space="0" w:color="auto"/>
        <w:left w:val="none" w:sz="0" w:space="0" w:color="auto"/>
        <w:bottom w:val="none" w:sz="0" w:space="0" w:color="auto"/>
        <w:right w:val="none" w:sz="0" w:space="0" w:color="auto"/>
      </w:divBdr>
    </w:div>
    <w:div w:id="433063616">
      <w:bodyDiv w:val="1"/>
      <w:marLeft w:val="0"/>
      <w:marRight w:val="0"/>
      <w:marTop w:val="0"/>
      <w:marBottom w:val="0"/>
      <w:divBdr>
        <w:top w:val="none" w:sz="0" w:space="0" w:color="auto"/>
        <w:left w:val="none" w:sz="0" w:space="0" w:color="auto"/>
        <w:bottom w:val="none" w:sz="0" w:space="0" w:color="auto"/>
        <w:right w:val="none" w:sz="0" w:space="0" w:color="auto"/>
      </w:divBdr>
    </w:div>
    <w:div w:id="494763401">
      <w:bodyDiv w:val="1"/>
      <w:marLeft w:val="0"/>
      <w:marRight w:val="0"/>
      <w:marTop w:val="0"/>
      <w:marBottom w:val="0"/>
      <w:divBdr>
        <w:top w:val="none" w:sz="0" w:space="0" w:color="auto"/>
        <w:left w:val="none" w:sz="0" w:space="0" w:color="auto"/>
        <w:bottom w:val="none" w:sz="0" w:space="0" w:color="auto"/>
        <w:right w:val="none" w:sz="0" w:space="0" w:color="auto"/>
      </w:divBdr>
    </w:div>
    <w:div w:id="496533319">
      <w:bodyDiv w:val="1"/>
      <w:marLeft w:val="0"/>
      <w:marRight w:val="0"/>
      <w:marTop w:val="0"/>
      <w:marBottom w:val="0"/>
      <w:divBdr>
        <w:top w:val="none" w:sz="0" w:space="0" w:color="auto"/>
        <w:left w:val="none" w:sz="0" w:space="0" w:color="auto"/>
        <w:bottom w:val="none" w:sz="0" w:space="0" w:color="auto"/>
        <w:right w:val="none" w:sz="0" w:space="0" w:color="auto"/>
      </w:divBdr>
    </w:div>
    <w:div w:id="496650838">
      <w:bodyDiv w:val="1"/>
      <w:marLeft w:val="0"/>
      <w:marRight w:val="0"/>
      <w:marTop w:val="0"/>
      <w:marBottom w:val="0"/>
      <w:divBdr>
        <w:top w:val="none" w:sz="0" w:space="0" w:color="auto"/>
        <w:left w:val="none" w:sz="0" w:space="0" w:color="auto"/>
        <w:bottom w:val="none" w:sz="0" w:space="0" w:color="auto"/>
        <w:right w:val="none" w:sz="0" w:space="0" w:color="auto"/>
      </w:divBdr>
    </w:div>
    <w:div w:id="506211189">
      <w:bodyDiv w:val="1"/>
      <w:marLeft w:val="0"/>
      <w:marRight w:val="0"/>
      <w:marTop w:val="0"/>
      <w:marBottom w:val="0"/>
      <w:divBdr>
        <w:top w:val="none" w:sz="0" w:space="0" w:color="auto"/>
        <w:left w:val="none" w:sz="0" w:space="0" w:color="auto"/>
        <w:bottom w:val="none" w:sz="0" w:space="0" w:color="auto"/>
        <w:right w:val="none" w:sz="0" w:space="0" w:color="auto"/>
      </w:divBdr>
    </w:div>
    <w:div w:id="547642413">
      <w:bodyDiv w:val="1"/>
      <w:marLeft w:val="0"/>
      <w:marRight w:val="0"/>
      <w:marTop w:val="0"/>
      <w:marBottom w:val="0"/>
      <w:divBdr>
        <w:top w:val="none" w:sz="0" w:space="0" w:color="auto"/>
        <w:left w:val="none" w:sz="0" w:space="0" w:color="auto"/>
        <w:bottom w:val="none" w:sz="0" w:space="0" w:color="auto"/>
        <w:right w:val="none" w:sz="0" w:space="0" w:color="auto"/>
      </w:divBdr>
    </w:div>
    <w:div w:id="549538802">
      <w:bodyDiv w:val="1"/>
      <w:marLeft w:val="0"/>
      <w:marRight w:val="0"/>
      <w:marTop w:val="0"/>
      <w:marBottom w:val="0"/>
      <w:divBdr>
        <w:top w:val="none" w:sz="0" w:space="0" w:color="auto"/>
        <w:left w:val="none" w:sz="0" w:space="0" w:color="auto"/>
        <w:bottom w:val="none" w:sz="0" w:space="0" w:color="auto"/>
        <w:right w:val="none" w:sz="0" w:space="0" w:color="auto"/>
      </w:divBdr>
    </w:div>
    <w:div w:id="550269524">
      <w:bodyDiv w:val="1"/>
      <w:marLeft w:val="0"/>
      <w:marRight w:val="0"/>
      <w:marTop w:val="0"/>
      <w:marBottom w:val="0"/>
      <w:divBdr>
        <w:top w:val="none" w:sz="0" w:space="0" w:color="auto"/>
        <w:left w:val="none" w:sz="0" w:space="0" w:color="auto"/>
        <w:bottom w:val="none" w:sz="0" w:space="0" w:color="auto"/>
        <w:right w:val="none" w:sz="0" w:space="0" w:color="auto"/>
      </w:divBdr>
    </w:div>
    <w:div w:id="551039343">
      <w:bodyDiv w:val="1"/>
      <w:marLeft w:val="0"/>
      <w:marRight w:val="0"/>
      <w:marTop w:val="0"/>
      <w:marBottom w:val="0"/>
      <w:divBdr>
        <w:top w:val="none" w:sz="0" w:space="0" w:color="auto"/>
        <w:left w:val="none" w:sz="0" w:space="0" w:color="auto"/>
        <w:bottom w:val="none" w:sz="0" w:space="0" w:color="auto"/>
        <w:right w:val="none" w:sz="0" w:space="0" w:color="auto"/>
      </w:divBdr>
    </w:div>
    <w:div w:id="572735410">
      <w:bodyDiv w:val="1"/>
      <w:marLeft w:val="0"/>
      <w:marRight w:val="0"/>
      <w:marTop w:val="0"/>
      <w:marBottom w:val="0"/>
      <w:divBdr>
        <w:top w:val="none" w:sz="0" w:space="0" w:color="auto"/>
        <w:left w:val="none" w:sz="0" w:space="0" w:color="auto"/>
        <w:bottom w:val="none" w:sz="0" w:space="0" w:color="auto"/>
        <w:right w:val="none" w:sz="0" w:space="0" w:color="auto"/>
      </w:divBdr>
    </w:div>
    <w:div w:id="578368079">
      <w:bodyDiv w:val="1"/>
      <w:marLeft w:val="0"/>
      <w:marRight w:val="0"/>
      <w:marTop w:val="0"/>
      <w:marBottom w:val="0"/>
      <w:divBdr>
        <w:top w:val="none" w:sz="0" w:space="0" w:color="auto"/>
        <w:left w:val="none" w:sz="0" w:space="0" w:color="auto"/>
        <w:bottom w:val="none" w:sz="0" w:space="0" w:color="auto"/>
        <w:right w:val="none" w:sz="0" w:space="0" w:color="auto"/>
      </w:divBdr>
    </w:div>
    <w:div w:id="579754719">
      <w:bodyDiv w:val="1"/>
      <w:marLeft w:val="0"/>
      <w:marRight w:val="0"/>
      <w:marTop w:val="0"/>
      <w:marBottom w:val="0"/>
      <w:divBdr>
        <w:top w:val="none" w:sz="0" w:space="0" w:color="auto"/>
        <w:left w:val="none" w:sz="0" w:space="0" w:color="auto"/>
        <w:bottom w:val="none" w:sz="0" w:space="0" w:color="auto"/>
        <w:right w:val="none" w:sz="0" w:space="0" w:color="auto"/>
      </w:divBdr>
    </w:div>
    <w:div w:id="580911517">
      <w:bodyDiv w:val="1"/>
      <w:marLeft w:val="0"/>
      <w:marRight w:val="0"/>
      <w:marTop w:val="0"/>
      <w:marBottom w:val="0"/>
      <w:divBdr>
        <w:top w:val="none" w:sz="0" w:space="0" w:color="auto"/>
        <w:left w:val="none" w:sz="0" w:space="0" w:color="auto"/>
        <w:bottom w:val="none" w:sz="0" w:space="0" w:color="auto"/>
        <w:right w:val="none" w:sz="0" w:space="0" w:color="auto"/>
      </w:divBdr>
    </w:div>
    <w:div w:id="599605043">
      <w:bodyDiv w:val="1"/>
      <w:marLeft w:val="0"/>
      <w:marRight w:val="0"/>
      <w:marTop w:val="0"/>
      <w:marBottom w:val="0"/>
      <w:divBdr>
        <w:top w:val="none" w:sz="0" w:space="0" w:color="auto"/>
        <w:left w:val="none" w:sz="0" w:space="0" w:color="auto"/>
        <w:bottom w:val="none" w:sz="0" w:space="0" w:color="auto"/>
        <w:right w:val="none" w:sz="0" w:space="0" w:color="auto"/>
      </w:divBdr>
    </w:div>
    <w:div w:id="603537854">
      <w:bodyDiv w:val="1"/>
      <w:marLeft w:val="0"/>
      <w:marRight w:val="0"/>
      <w:marTop w:val="0"/>
      <w:marBottom w:val="0"/>
      <w:divBdr>
        <w:top w:val="none" w:sz="0" w:space="0" w:color="auto"/>
        <w:left w:val="none" w:sz="0" w:space="0" w:color="auto"/>
        <w:bottom w:val="none" w:sz="0" w:space="0" w:color="auto"/>
        <w:right w:val="none" w:sz="0" w:space="0" w:color="auto"/>
      </w:divBdr>
    </w:div>
    <w:div w:id="605499242">
      <w:bodyDiv w:val="1"/>
      <w:marLeft w:val="0"/>
      <w:marRight w:val="0"/>
      <w:marTop w:val="0"/>
      <w:marBottom w:val="0"/>
      <w:divBdr>
        <w:top w:val="none" w:sz="0" w:space="0" w:color="auto"/>
        <w:left w:val="none" w:sz="0" w:space="0" w:color="auto"/>
        <w:bottom w:val="none" w:sz="0" w:space="0" w:color="auto"/>
        <w:right w:val="none" w:sz="0" w:space="0" w:color="auto"/>
      </w:divBdr>
    </w:div>
    <w:div w:id="610359422">
      <w:bodyDiv w:val="1"/>
      <w:marLeft w:val="0"/>
      <w:marRight w:val="0"/>
      <w:marTop w:val="0"/>
      <w:marBottom w:val="0"/>
      <w:divBdr>
        <w:top w:val="none" w:sz="0" w:space="0" w:color="auto"/>
        <w:left w:val="none" w:sz="0" w:space="0" w:color="auto"/>
        <w:bottom w:val="none" w:sz="0" w:space="0" w:color="auto"/>
        <w:right w:val="none" w:sz="0" w:space="0" w:color="auto"/>
      </w:divBdr>
    </w:div>
    <w:div w:id="616066065">
      <w:bodyDiv w:val="1"/>
      <w:marLeft w:val="0"/>
      <w:marRight w:val="0"/>
      <w:marTop w:val="0"/>
      <w:marBottom w:val="0"/>
      <w:divBdr>
        <w:top w:val="none" w:sz="0" w:space="0" w:color="auto"/>
        <w:left w:val="none" w:sz="0" w:space="0" w:color="auto"/>
        <w:bottom w:val="none" w:sz="0" w:space="0" w:color="auto"/>
        <w:right w:val="none" w:sz="0" w:space="0" w:color="auto"/>
      </w:divBdr>
    </w:div>
    <w:div w:id="635061517">
      <w:bodyDiv w:val="1"/>
      <w:marLeft w:val="0"/>
      <w:marRight w:val="0"/>
      <w:marTop w:val="0"/>
      <w:marBottom w:val="0"/>
      <w:divBdr>
        <w:top w:val="none" w:sz="0" w:space="0" w:color="auto"/>
        <w:left w:val="none" w:sz="0" w:space="0" w:color="auto"/>
        <w:bottom w:val="none" w:sz="0" w:space="0" w:color="auto"/>
        <w:right w:val="none" w:sz="0" w:space="0" w:color="auto"/>
      </w:divBdr>
    </w:div>
    <w:div w:id="640884666">
      <w:bodyDiv w:val="1"/>
      <w:marLeft w:val="0"/>
      <w:marRight w:val="0"/>
      <w:marTop w:val="0"/>
      <w:marBottom w:val="0"/>
      <w:divBdr>
        <w:top w:val="none" w:sz="0" w:space="0" w:color="auto"/>
        <w:left w:val="none" w:sz="0" w:space="0" w:color="auto"/>
        <w:bottom w:val="none" w:sz="0" w:space="0" w:color="auto"/>
        <w:right w:val="none" w:sz="0" w:space="0" w:color="auto"/>
      </w:divBdr>
    </w:div>
    <w:div w:id="641934191">
      <w:bodyDiv w:val="1"/>
      <w:marLeft w:val="0"/>
      <w:marRight w:val="0"/>
      <w:marTop w:val="0"/>
      <w:marBottom w:val="0"/>
      <w:divBdr>
        <w:top w:val="none" w:sz="0" w:space="0" w:color="auto"/>
        <w:left w:val="none" w:sz="0" w:space="0" w:color="auto"/>
        <w:bottom w:val="none" w:sz="0" w:space="0" w:color="auto"/>
        <w:right w:val="none" w:sz="0" w:space="0" w:color="auto"/>
      </w:divBdr>
    </w:div>
    <w:div w:id="649595580">
      <w:bodyDiv w:val="1"/>
      <w:marLeft w:val="0"/>
      <w:marRight w:val="0"/>
      <w:marTop w:val="0"/>
      <w:marBottom w:val="0"/>
      <w:divBdr>
        <w:top w:val="none" w:sz="0" w:space="0" w:color="auto"/>
        <w:left w:val="none" w:sz="0" w:space="0" w:color="auto"/>
        <w:bottom w:val="none" w:sz="0" w:space="0" w:color="auto"/>
        <w:right w:val="none" w:sz="0" w:space="0" w:color="auto"/>
      </w:divBdr>
    </w:div>
    <w:div w:id="653067243">
      <w:bodyDiv w:val="1"/>
      <w:marLeft w:val="0"/>
      <w:marRight w:val="0"/>
      <w:marTop w:val="0"/>
      <w:marBottom w:val="0"/>
      <w:divBdr>
        <w:top w:val="none" w:sz="0" w:space="0" w:color="auto"/>
        <w:left w:val="none" w:sz="0" w:space="0" w:color="auto"/>
        <w:bottom w:val="none" w:sz="0" w:space="0" w:color="auto"/>
        <w:right w:val="none" w:sz="0" w:space="0" w:color="auto"/>
      </w:divBdr>
    </w:div>
    <w:div w:id="654334442">
      <w:bodyDiv w:val="1"/>
      <w:marLeft w:val="0"/>
      <w:marRight w:val="0"/>
      <w:marTop w:val="0"/>
      <w:marBottom w:val="0"/>
      <w:divBdr>
        <w:top w:val="none" w:sz="0" w:space="0" w:color="auto"/>
        <w:left w:val="none" w:sz="0" w:space="0" w:color="auto"/>
        <w:bottom w:val="none" w:sz="0" w:space="0" w:color="auto"/>
        <w:right w:val="none" w:sz="0" w:space="0" w:color="auto"/>
      </w:divBdr>
    </w:div>
    <w:div w:id="657224167">
      <w:bodyDiv w:val="1"/>
      <w:marLeft w:val="0"/>
      <w:marRight w:val="0"/>
      <w:marTop w:val="0"/>
      <w:marBottom w:val="0"/>
      <w:divBdr>
        <w:top w:val="none" w:sz="0" w:space="0" w:color="auto"/>
        <w:left w:val="none" w:sz="0" w:space="0" w:color="auto"/>
        <w:bottom w:val="none" w:sz="0" w:space="0" w:color="auto"/>
        <w:right w:val="none" w:sz="0" w:space="0" w:color="auto"/>
      </w:divBdr>
    </w:div>
    <w:div w:id="696735650">
      <w:bodyDiv w:val="1"/>
      <w:marLeft w:val="0"/>
      <w:marRight w:val="0"/>
      <w:marTop w:val="0"/>
      <w:marBottom w:val="0"/>
      <w:divBdr>
        <w:top w:val="none" w:sz="0" w:space="0" w:color="auto"/>
        <w:left w:val="none" w:sz="0" w:space="0" w:color="auto"/>
        <w:bottom w:val="none" w:sz="0" w:space="0" w:color="auto"/>
        <w:right w:val="none" w:sz="0" w:space="0" w:color="auto"/>
      </w:divBdr>
    </w:div>
    <w:div w:id="707412789">
      <w:bodyDiv w:val="1"/>
      <w:marLeft w:val="0"/>
      <w:marRight w:val="0"/>
      <w:marTop w:val="0"/>
      <w:marBottom w:val="0"/>
      <w:divBdr>
        <w:top w:val="none" w:sz="0" w:space="0" w:color="auto"/>
        <w:left w:val="none" w:sz="0" w:space="0" w:color="auto"/>
        <w:bottom w:val="none" w:sz="0" w:space="0" w:color="auto"/>
        <w:right w:val="none" w:sz="0" w:space="0" w:color="auto"/>
      </w:divBdr>
    </w:div>
    <w:div w:id="712004252">
      <w:bodyDiv w:val="1"/>
      <w:marLeft w:val="0"/>
      <w:marRight w:val="0"/>
      <w:marTop w:val="0"/>
      <w:marBottom w:val="0"/>
      <w:divBdr>
        <w:top w:val="none" w:sz="0" w:space="0" w:color="auto"/>
        <w:left w:val="none" w:sz="0" w:space="0" w:color="auto"/>
        <w:bottom w:val="none" w:sz="0" w:space="0" w:color="auto"/>
        <w:right w:val="none" w:sz="0" w:space="0" w:color="auto"/>
      </w:divBdr>
    </w:div>
    <w:div w:id="729890647">
      <w:bodyDiv w:val="1"/>
      <w:marLeft w:val="0"/>
      <w:marRight w:val="0"/>
      <w:marTop w:val="0"/>
      <w:marBottom w:val="0"/>
      <w:divBdr>
        <w:top w:val="none" w:sz="0" w:space="0" w:color="auto"/>
        <w:left w:val="none" w:sz="0" w:space="0" w:color="auto"/>
        <w:bottom w:val="none" w:sz="0" w:space="0" w:color="auto"/>
        <w:right w:val="none" w:sz="0" w:space="0" w:color="auto"/>
      </w:divBdr>
    </w:div>
    <w:div w:id="741221294">
      <w:bodyDiv w:val="1"/>
      <w:marLeft w:val="0"/>
      <w:marRight w:val="0"/>
      <w:marTop w:val="0"/>
      <w:marBottom w:val="0"/>
      <w:divBdr>
        <w:top w:val="none" w:sz="0" w:space="0" w:color="auto"/>
        <w:left w:val="none" w:sz="0" w:space="0" w:color="auto"/>
        <w:bottom w:val="none" w:sz="0" w:space="0" w:color="auto"/>
        <w:right w:val="none" w:sz="0" w:space="0" w:color="auto"/>
      </w:divBdr>
    </w:div>
    <w:div w:id="743835823">
      <w:bodyDiv w:val="1"/>
      <w:marLeft w:val="0"/>
      <w:marRight w:val="0"/>
      <w:marTop w:val="0"/>
      <w:marBottom w:val="0"/>
      <w:divBdr>
        <w:top w:val="none" w:sz="0" w:space="0" w:color="auto"/>
        <w:left w:val="none" w:sz="0" w:space="0" w:color="auto"/>
        <w:bottom w:val="none" w:sz="0" w:space="0" w:color="auto"/>
        <w:right w:val="none" w:sz="0" w:space="0" w:color="auto"/>
      </w:divBdr>
    </w:div>
    <w:div w:id="747849152">
      <w:bodyDiv w:val="1"/>
      <w:marLeft w:val="0"/>
      <w:marRight w:val="0"/>
      <w:marTop w:val="0"/>
      <w:marBottom w:val="0"/>
      <w:divBdr>
        <w:top w:val="none" w:sz="0" w:space="0" w:color="auto"/>
        <w:left w:val="none" w:sz="0" w:space="0" w:color="auto"/>
        <w:bottom w:val="none" w:sz="0" w:space="0" w:color="auto"/>
        <w:right w:val="none" w:sz="0" w:space="0" w:color="auto"/>
      </w:divBdr>
    </w:div>
    <w:div w:id="751198981">
      <w:bodyDiv w:val="1"/>
      <w:marLeft w:val="0"/>
      <w:marRight w:val="0"/>
      <w:marTop w:val="0"/>
      <w:marBottom w:val="0"/>
      <w:divBdr>
        <w:top w:val="none" w:sz="0" w:space="0" w:color="auto"/>
        <w:left w:val="none" w:sz="0" w:space="0" w:color="auto"/>
        <w:bottom w:val="none" w:sz="0" w:space="0" w:color="auto"/>
        <w:right w:val="none" w:sz="0" w:space="0" w:color="auto"/>
      </w:divBdr>
    </w:div>
    <w:div w:id="761530266">
      <w:bodyDiv w:val="1"/>
      <w:marLeft w:val="0"/>
      <w:marRight w:val="0"/>
      <w:marTop w:val="0"/>
      <w:marBottom w:val="0"/>
      <w:divBdr>
        <w:top w:val="none" w:sz="0" w:space="0" w:color="auto"/>
        <w:left w:val="none" w:sz="0" w:space="0" w:color="auto"/>
        <w:bottom w:val="none" w:sz="0" w:space="0" w:color="auto"/>
        <w:right w:val="none" w:sz="0" w:space="0" w:color="auto"/>
      </w:divBdr>
    </w:div>
    <w:div w:id="766270643">
      <w:bodyDiv w:val="1"/>
      <w:marLeft w:val="0"/>
      <w:marRight w:val="0"/>
      <w:marTop w:val="0"/>
      <w:marBottom w:val="0"/>
      <w:divBdr>
        <w:top w:val="none" w:sz="0" w:space="0" w:color="auto"/>
        <w:left w:val="none" w:sz="0" w:space="0" w:color="auto"/>
        <w:bottom w:val="none" w:sz="0" w:space="0" w:color="auto"/>
        <w:right w:val="none" w:sz="0" w:space="0" w:color="auto"/>
      </w:divBdr>
    </w:div>
    <w:div w:id="770516082">
      <w:bodyDiv w:val="1"/>
      <w:marLeft w:val="0"/>
      <w:marRight w:val="0"/>
      <w:marTop w:val="0"/>
      <w:marBottom w:val="0"/>
      <w:divBdr>
        <w:top w:val="none" w:sz="0" w:space="0" w:color="auto"/>
        <w:left w:val="none" w:sz="0" w:space="0" w:color="auto"/>
        <w:bottom w:val="none" w:sz="0" w:space="0" w:color="auto"/>
        <w:right w:val="none" w:sz="0" w:space="0" w:color="auto"/>
      </w:divBdr>
    </w:div>
    <w:div w:id="777917026">
      <w:bodyDiv w:val="1"/>
      <w:marLeft w:val="0"/>
      <w:marRight w:val="0"/>
      <w:marTop w:val="0"/>
      <w:marBottom w:val="0"/>
      <w:divBdr>
        <w:top w:val="none" w:sz="0" w:space="0" w:color="auto"/>
        <w:left w:val="none" w:sz="0" w:space="0" w:color="auto"/>
        <w:bottom w:val="none" w:sz="0" w:space="0" w:color="auto"/>
        <w:right w:val="none" w:sz="0" w:space="0" w:color="auto"/>
      </w:divBdr>
    </w:div>
    <w:div w:id="784156522">
      <w:bodyDiv w:val="1"/>
      <w:marLeft w:val="0"/>
      <w:marRight w:val="0"/>
      <w:marTop w:val="0"/>
      <w:marBottom w:val="0"/>
      <w:divBdr>
        <w:top w:val="none" w:sz="0" w:space="0" w:color="auto"/>
        <w:left w:val="none" w:sz="0" w:space="0" w:color="auto"/>
        <w:bottom w:val="none" w:sz="0" w:space="0" w:color="auto"/>
        <w:right w:val="none" w:sz="0" w:space="0" w:color="auto"/>
      </w:divBdr>
    </w:div>
    <w:div w:id="790973776">
      <w:bodyDiv w:val="1"/>
      <w:marLeft w:val="0"/>
      <w:marRight w:val="0"/>
      <w:marTop w:val="0"/>
      <w:marBottom w:val="0"/>
      <w:divBdr>
        <w:top w:val="none" w:sz="0" w:space="0" w:color="auto"/>
        <w:left w:val="none" w:sz="0" w:space="0" w:color="auto"/>
        <w:bottom w:val="none" w:sz="0" w:space="0" w:color="auto"/>
        <w:right w:val="none" w:sz="0" w:space="0" w:color="auto"/>
      </w:divBdr>
    </w:div>
    <w:div w:id="798064195">
      <w:bodyDiv w:val="1"/>
      <w:marLeft w:val="0"/>
      <w:marRight w:val="0"/>
      <w:marTop w:val="0"/>
      <w:marBottom w:val="0"/>
      <w:divBdr>
        <w:top w:val="none" w:sz="0" w:space="0" w:color="auto"/>
        <w:left w:val="none" w:sz="0" w:space="0" w:color="auto"/>
        <w:bottom w:val="none" w:sz="0" w:space="0" w:color="auto"/>
        <w:right w:val="none" w:sz="0" w:space="0" w:color="auto"/>
      </w:divBdr>
    </w:div>
    <w:div w:id="801114144">
      <w:bodyDiv w:val="1"/>
      <w:marLeft w:val="0"/>
      <w:marRight w:val="0"/>
      <w:marTop w:val="0"/>
      <w:marBottom w:val="0"/>
      <w:divBdr>
        <w:top w:val="none" w:sz="0" w:space="0" w:color="auto"/>
        <w:left w:val="none" w:sz="0" w:space="0" w:color="auto"/>
        <w:bottom w:val="none" w:sz="0" w:space="0" w:color="auto"/>
        <w:right w:val="none" w:sz="0" w:space="0" w:color="auto"/>
      </w:divBdr>
    </w:div>
    <w:div w:id="830213391">
      <w:bodyDiv w:val="1"/>
      <w:marLeft w:val="0"/>
      <w:marRight w:val="0"/>
      <w:marTop w:val="0"/>
      <w:marBottom w:val="0"/>
      <w:divBdr>
        <w:top w:val="none" w:sz="0" w:space="0" w:color="auto"/>
        <w:left w:val="none" w:sz="0" w:space="0" w:color="auto"/>
        <w:bottom w:val="none" w:sz="0" w:space="0" w:color="auto"/>
        <w:right w:val="none" w:sz="0" w:space="0" w:color="auto"/>
      </w:divBdr>
    </w:div>
    <w:div w:id="836730297">
      <w:bodyDiv w:val="1"/>
      <w:marLeft w:val="0"/>
      <w:marRight w:val="0"/>
      <w:marTop w:val="0"/>
      <w:marBottom w:val="0"/>
      <w:divBdr>
        <w:top w:val="none" w:sz="0" w:space="0" w:color="auto"/>
        <w:left w:val="none" w:sz="0" w:space="0" w:color="auto"/>
        <w:bottom w:val="none" w:sz="0" w:space="0" w:color="auto"/>
        <w:right w:val="none" w:sz="0" w:space="0" w:color="auto"/>
      </w:divBdr>
    </w:div>
    <w:div w:id="853031973">
      <w:bodyDiv w:val="1"/>
      <w:marLeft w:val="0"/>
      <w:marRight w:val="0"/>
      <w:marTop w:val="0"/>
      <w:marBottom w:val="0"/>
      <w:divBdr>
        <w:top w:val="none" w:sz="0" w:space="0" w:color="auto"/>
        <w:left w:val="none" w:sz="0" w:space="0" w:color="auto"/>
        <w:bottom w:val="none" w:sz="0" w:space="0" w:color="auto"/>
        <w:right w:val="none" w:sz="0" w:space="0" w:color="auto"/>
      </w:divBdr>
    </w:div>
    <w:div w:id="854071970">
      <w:bodyDiv w:val="1"/>
      <w:marLeft w:val="0"/>
      <w:marRight w:val="0"/>
      <w:marTop w:val="0"/>
      <w:marBottom w:val="0"/>
      <w:divBdr>
        <w:top w:val="none" w:sz="0" w:space="0" w:color="auto"/>
        <w:left w:val="none" w:sz="0" w:space="0" w:color="auto"/>
        <w:bottom w:val="none" w:sz="0" w:space="0" w:color="auto"/>
        <w:right w:val="none" w:sz="0" w:space="0" w:color="auto"/>
      </w:divBdr>
    </w:div>
    <w:div w:id="855193093">
      <w:bodyDiv w:val="1"/>
      <w:marLeft w:val="0"/>
      <w:marRight w:val="0"/>
      <w:marTop w:val="0"/>
      <w:marBottom w:val="0"/>
      <w:divBdr>
        <w:top w:val="none" w:sz="0" w:space="0" w:color="auto"/>
        <w:left w:val="none" w:sz="0" w:space="0" w:color="auto"/>
        <w:bottom w:val="none" w:sz="0" w:space="0" w:color="auto"/>
        <w:right w:val="none" w:sz="0" w:space="0" w:color="auto"/>
      </w:divBdr>
    </w:div>
    <w:div w:id="869295694">
      <w:bodyDiv w:val="1"/>
      <w:marLeft w:val="0"/>
      <w:marRight w:val="0"/>
      <w:marTop w:val="0"/>
      <w:marBottom w:val="0"/>
      <w:divBdr>
        <w:top w:val="none" w:sz="0" w:space="0" w:color="auto"/>
        <w:left w:val="none" w:sz="0" w:space="0" w:color="auto"/>
        <w:bottom w:val="none" w:sz="0" w:space="0" w:color="auto"/>
        <w:right w:val="none" w:sz="0" w:space="0" w:color="auto"/>
      </w:divBdr>
    </w:div>
    <w:div w:id="871189510">
      <w:bodyDiv w:val="1"/>
      <w:marLeft w:val="0"/>
      <w:marRight w:val="0"/>
      <w:marTop w:val="0"/>
      <w:marBottom w:val="0"/>
      <w:divBdr>
        <w:top w:val="none" w:sz="0" w:space="0" w:color="auto"/>
        <w:left w:val="none" w:sz="0" w:space="0" w:color="auto"/>
        <w:bottom w:val="none" w:sz="0" w:space="0" w:color="auto"/>
        <w:right w:val="none" w:sz="0" w:space="0" w:color="auto"/>
      </w:divBdr>
    </w:div>
    <w:div w:id="871309512">
      <w:bodyDiv w:val="1"/>
      <w:marLeft w:val="0"/>
      <w:marRight w:val="0"/>
      <w:marTop w:val="0"/>
      <w:marBottom w:val="0"/>
      <w:divBdr>
        <w:top w:val="none" w:sz="0" w:space="0" w:color="auto"/>
        <w:left w:val="none" w:sz="0" w:space="0" w:color="auto"/>
        <w:bottom w:val="none" w:sz="0" w:space="0" w:color="auto"/>
        <w:right w:val="none" w:sz="0" w:space="0" w:color="auto"/>
      </w:divBdr>
    </w:div>
    <w:div w:id="874270733">
      <w:bodyDiv w:val="1"/>
      <w:marLeft w:val="0"/>
      <w:marRight w:val="0"/>
      <w:marTop w:val="0"/>
      <w:marBottom w:val="0"/>
      <w:divBdr>
        <w:top w:val="none" w:sz="0" w:space="0" w:color="auto"/>
        <w:left w:val="none" w:sz="0" w:space="0" w:color="auto"/>
        <w:bottom w:val="none" w:sz="0" w:space="0" w:color="auto"/>
        <w:right w:val="none" w:sz="0" w:space="0" w:color="auto"/>
      </w:divBdr>
    </w:div>
    <w:div w:id="878321791">
      <w:bodyDiv w:val="1"/>
      <w:marLeft w:val="0"/>
      <w:marRight w:val="0"/>
      <w:marTop w:val="0"/>
      <w:marBottom w:val="0"/>
      <w:divBdr>
        <w:top w:val="none" w:sz="0" w:space="0" w:color="auto"/>
        <w:left w:val="none" w:sz="0" w:space="0" w:color="auto"/>
        <w:bottom w:val="none" w:sz="0" w:space="0" w:color="auto"/>
        <w:right w:val="none" w:sz="0" w:space="0" w:color="auto"/>
      </w:divBdr>
    </w:div>
    <w:div w:id="878590387">
      <w:bodyDiv w:val="1"/>
      <w:marLeft w:val="0"/>
      <w:marRight w:val="0"/>
      <w:marTop w:val="0"/>
      <w:marBottom w:val="0"/>
      <w:divBdr>
        <w:top w:val="none" w:sz="0" w:space="0" w:color="auto"/>
        <w:left w:val="none" w:sz="0" w:space="0" w:color="auto"/>
        <w:bottom w:val="none" w:sz="0" w:space="0" w:color="auto"/>
        <w:right w:val="none" w:sz="0" w:space="0" w:color="auto"/>
      </w:divBdr>
    </w:div>
    <w:div w:id="895240768">
      <w:bodyDiv w:val="1"/>
      <w:marLeft w:val="0"/>
      <w:marRight w:val="0"/>
      <w:marTop w:val="0"/>
      <w:marBottom w:val="0"/>
      <w:divBdr>
        <w:top w:val="none" w:sz="0" w:space="0" w:color="auto"/>
        <w:left w:val="none" w:sz="0" w:space="0" w:color="auto"/>
        <w:bottom w:val="none" w:sz="0" w:space="0" w:color="auto"/>
        <w:right w:val="none" w:sz="0" w:space="0" w:color="auto"/>
      </w:divBdr>
    </w:div>
    <w:div w:id="902368975">
      <w:bodyDiv w:val="1"/>
      <w:marLeft w:val="0"/>
      <w:marRight w:val="0"/>
      <w:marTop w:val="0"/>
      <w:marBottom w:val="0"/>
      <w:divBdr>
        <w:top w:val="none" w:sz="0" w:space="0" w:color="auto"/>
        <w:left w:val="none" w:sz="0" w:space="0" w:color="auto"/>
        <w:bottom w:val="none" w:sz="0" w:space="0" w:color="auto"/>
        <w:right w:val="none" w:sz="0" w:space="0" w:color="auto"/>
      </w:divBdr>
    </w:div>
    <w:div w:id="912468846">
      <w:bodyDiv w:val="1"/>
      <w:marLeft w:val="0"/>
      <w:marRight w:val="0"/>
      <w:marTop w:val="0"/>
      <w:marBottom w:val="0"/>
      <w:divBdr>
        <w:top w:val="none" w:sz="0" w:space="0" w:color="auto"/>
        <w:left w:val="none" w:sz="0" w:space="0" w:color="auto"/>
        <w:bottom w:val="none" w:sz="0" w:space="0" w:color="auto"/>
        <w:right w:val="none" w:sz="0" w:space="0" w:color="auto"/>
      </w:divBdr>
    </w:div>
    <w:div w:id="926963193">
      <w:bodyDiv w:val="1"/>
      <w:marLeft w:val="0"/>
      <w:marRight w:val="0"/>
      <w:marTop w:val="0"/>
      <w:marBottom w:val="0"/>
      <w:divBdr>
        <w:top w:val="none" w:sz="0" w:space="0" w:color="auto"/>
        <w:left w:val="none" w:sz="0" w:space="0" w:color="auto"/>
        <w:bottom w:val="none" w:sz="0" w:space="0" w:color="auto"/>
        <w:right w:val="none" w:sz="0" w:space="0" w:color="auto"/>
      </w:divBdr>
    </w:div>
    <w:div w:id="931398285">
      <w:bodyDiv w:val="1"/>
      <w:marLeft w:val="0"/>
      <w:marRight w:val="0"/>
      <w:marTop w:val="0"/>
      <w:marBottom w:val="0"/>
      <w:divBdr>
        <w:top w:val="none" w:sz="0" w:space="0" w:color="auto"/>
        <w:left w:val="none" w:sz="0" w:space="0" w:color="auto"/>
        <w:bottom w:val="none" w:sz="0" w:space="0" w:color="auto"/>
        <w:right w:val="none" w:sz="0" w:space="0" w:color="auto"/>
      </w:divBdr>
    </w:div>
    <w:div w:id="957681921">
      <w:bodyDiv w:val="1"/>
      <w:marLeft w:val="0"/>
      <w:marRight w:val="0"/>
      <w:marTop w:val="0"/>
      <w:marBottom w:val="0"/>
      <w:divBdr>
        <w:top w:val="none" w:sz="0" w:space="0" w:color="auto"/>
        <w:left w:val="none" w:sz="0" w:space="0" w:color="auto"/>
        <w:bottom w:val="none" w:sz="0" w:space="0" w:color="auto"/>
        <w:right w:val="none" w:sz="0" w:space="0" w:color="auto"/>
      </w:divBdr>
    </w:div>
    <w:div w:id="958873753">
      <w:bodyDiv w:val="1"/>
      <w:marLeft w:val="0"/>
      <w:marRight w:val="0"/>
      <w:marTop w:val="0"/>
      <w:marBottom w:val="0"/>
      <w:divBdr>
        <w:top w:val="none" w:sz="0" w:space="0" w:color="auto"/>
        <w:left w:val="none" w:sz="0" w:space="0" w:color="auto"/>
        <w:bottom w:val="none" w:sz="0" w:space="0" w:color="auto"/>
        <w:right w:val="none" w:sz="0" w:space="0" w:color="auto"/>
      </w:divBdr>
    </w:div>
    <w:div w:id="971472747">
      <w:bodyDiv w:val="1"/>
      <w:marLeft w:val="0"/>
      <w:marRight w:val="0"/>
      <w:marTop w:val="0"/>
      <w:marBottom w:val="0"/>
      <w:divBdr>
        <w:top w:val="none" w:sz="0" w:space="0" w:color="auto"/>
        <w:left w:val="none" w:sz="0" w:space="0" w:color="auto"/>
        <w:bottom w:val="none" w:sz="0" w:space="0" w:color="auto"/>
        <w:right w:val="none" w:sz="0" w:space="0" w:color="auto"/>
      </w:divBdr>
    </w:div>
    <w:div w:id="986010321">
      <w:bodyDiv w:val="1"/>
      <w:marLeft w:val="0"/>
      <w:marRight w:val="0"/>
      <w:marTop w:val="0"/>
      <w:marBottom w:val="0"/>
      <w:divBdr>
        <w:top w:val="none" w:sz="0" w:space="0" w:color="auto"/>
        <w:left w:val="none" w:sz="0" w:space="0" w:color="auto"/>
        <w:bottom w:val="none" w:sz="0" w:space="0" w:color="auto"/>
        <w:right w:val="none" w:sz="0" w:space="0" w:color="auto"/>
      </w:divBdr>
    </w:div>
    <w:div w:id="993141859">
      <w:bodyDiv w:val="1"/>
      <w:marLeft w:val="0"/>
      <w:marRight w:val="0"/>
      <w:marTop w:val="0"/>
      <w:marBottom w:val="0"/>
      <w:divBdr>
        <w:top w:val="none" w:sz="0" w:space="0" w:color="auto"/>
        <w:left w:val="none" w:sz="0" w:space="0" w:color="auto"/>
        <w:bottom w:val="none" w:sz="0" w:space="0" w:color="auto"/>
        <w:right w:val="none" w:sz="0" w:space="0" w:color="auto"/>
      </w:divBdr>
    </w:div>
    <w:div w:id="1005742010">
      <w:bodyDiv w:val="1"/>
      <w:marLeft w:val="0"/>
      <w:marRight w:val="0"/>
      <w:marTop w:val="0"/>
      <w:marBottom w:val="0"/>
      <w:divBdr>
        <w:top w:val="none" w:sz="0" w:space="0" w:color="auto"/>
        <w:left w:val="none" w:sz="0" w:space="0" w:color="auto"/>
        <w:bottom w:val="none" w:sz="0" w:space="0" w:color="auto"/>
        <w:right w:val="none" w:sz="0" w:space="0" w:color="auto"/>
      </w:divBdr>
    </w:div>
    <w:div w:id="1013915453">
      <w:bodyDiv w:val="1"/>
      <w:marLeft w:val="0"/>
      <w:marRight w:val="0"/>
      <w:marTop w:val="0"/>
      <w:marBottom w:val="0"/>
      <w:divBdr>
        <w:top w:val="none" w:sz="0" w:space="0" w:color="auto"/>
        <w:left w:val="none" w:sz="0" w:space="0" w:color="auto"/>
        <w:bottom w:val="none" w:sz="0" w:space="0" w:color="auto"/>
        <w:right w:val="none" w:sz="0" w:space="0" w:color="auto"/>
      </w:divBdr>
    </w:div>
    <w:div w:id="1020548749">
      <w:bodyDiv w:val="1"/>
      <w:marLeft w:val="0"/>
      <w:marRight w:val="0"/>
      <w:marTop w:val="0"/>
      <w:marBottom w:val="0"/>
      <w:divBdr>
        <w:top w:val="none" w:sz="0" w:space="0" w:color="auto"/>
        <w:left w:val="none" w:sz="0" w:space="0" w:color="auto"/>
        <w:bottom w:val="none" w:sz="0" w:space="0" w:color="auto"/>
        <w:right w:val="none" w:sz="0" w:space="0" w:color="auto"/>
      </w:divBdr>
    </w:div>
    <w:div w:id="1022320139">
      <w:bodyDiv w:val="1"/>
      <w:marLeft w:val="0"/>
      <w:marRight w:val="0"/>
      <w:marTop w:val="0"/>
      <w:marBottom w:val="0"/>
      <w:divBdr>
        <w:top w:val="none" w:sz="0" w:space="0" w:color="auto"/>
        <w:left w:val="none" w:sz="0" w:space="0" w:color="auto"/>
        <w:bottom w:val="none" w:sz="0" w:space="0" w:color="auto"/>
        <w:right w:val="none" w:sz="0" w:space="0" w:color="auto"/>
      </w:divBdr>
    </w:div>
    <w:div w:id="1028800102">
      <w:bodyDiv w:val="1"/>
      <w:marLeft w:val="0"/>
      <w:marRight w:val="0"/>
      <w:marTop w:val="0"/>
      <w:marBottom w:val="0"/>
      <w:divBdr>
        <w:top w:val="none" w:sz="0" w:space="0" w:color="auto"/>
        <w:left w:val="none" w:sz="0" w:space="0" w:color="auto"/>
        <w:bottom w:val="none" w:sz="0" w:space="0" w:color="auto"/>
        <w:right w:val="none" w:sz="0" w:space="0" w:color="auto"/>
      </w:divBdr>
    </w:div>
    <w:div w:id="1032920815">
      <w:bodyDiv w:val="1"/>
      <w:marLeft w:val="0"/>
      <w:marRight w:val="0"/>
      <w:marTop w:val="0"/>
      <w:marBottom w:val="0"/>
      <w:divBdr>
        <w:top w:val="none" w:sz="0" w:space="0" w:color="auto"/>
        <w:left w:val="none" w:sz="0" w:space="0" w:color="auto"/>
        <w:bottom w:val="none" w:sz="0" w:space="0" w:color="auto"/>
        <w:right w:val="none" w:sz="0" w:space="0" w:color="auto"/>
      </w:divBdr>
    </w:div>
    <w:div w:id="1047342008">
      <w:bodyDiv w:val="1"/>
      <w:marLeft w:val="0"/>
      <w:marRight w:val="0"/>
      <w:marTop w:val="0"/>
      <w:marBottom w:val="0"/>
      <w:divBdr>
        <w:top w:val="none" w:sz="0" w:space="0" w:color="auto"/>
        <w:left w:val="none" w:sz="0" w:space="0" w:color="auto"/>
        <w:bottom w:val="none" w:sz="0" w:space="0" w:color="auto"/>
        <w:right w:val="none" w:sz="0" w:space="0" w:color="auto"/>
      </w:divBdr>
    </w:div>
    <w:div w:id="1060635031">
      <w:bodyDiv w:val="1"/>
      <w:marLeft w:val="0"/>
      <w:marRight w:val="0"/>
      <w:marTop w:val="0"/>
      <w:marBottom w:val="0"/>
      <w:divBdr>
        <w:top w:val="none" w:sz="0" w:space="0" w:color="auto"/>
        <w:left w:val="none" w:sz="0" w:space="0" w:color="auto"/>
        <w:bottom w:val="none" w:sz="0" w:space="0" w:color="auto"/>
        <w:right w:val="none" w:sz="0" w:space="0" w:color="auto"/>
      </w:divBdr>
    </w:div>
    <w:div w:id="1062020469">
      <w:bodyDiv w:val="1"/>
      <w:marLeft w:val="0"/>
      <w:marRight w:val="0"/>
      <w:marTop w:val="0"/>
      <w:marBottom w:val="0"/>
      <w:divBdr>
        <w:top w:val="none" w:sz="0" w:space="0" w:color="auto"/>
        <w:left w:val="none" w:sz="0" w:space="0" w:color="auto"/>
        <w:bottom w:val="none" w:sz="0" w:space="0" w:color="auto"/>
        <w:right w:val="none" w:sz="0" w:space="0" w:color="auto"/>
      </w:divBdr>
    </w:div>
    <w:div w:id="1068309492">
      <w:bodyDiv w:val="1"/>
      <w:marLeft w:val="0"/>
      <w:marRight w:val="0"/>
      <w:marTop w:val="0"/>
      <w:marBottom w:val="0"/>
      <w:divBdr>
        <w:top w:val="none" w:sz="0" w:space="0" w:color="auto"/>
        <w:left w:val="none" w:sz="0" w:space="0" w:color="auto"/>
        <w:bottom w:val="none" w:sz="0" w:space="0" w:color="auto"/>
        <w:right w:val="none" w:sz="0" w:space="0" w:color="auto"/>
      </w:divBdr>
    </w:div>
    <w:div w:id="1080447590">
      <w:bodyDiv w:val="1"/>
      <w:marLeft w:val="0"/>
      <w:marRight w:val="0"/>
      <w:marTop w:val="0"/>
      <w:marBottom w:val="0"/>
      <w:divBdr>
        <w:top w:val="none" w:sz="0" w:space="0" w:color="auto"/>
        <w:left w:val="none" w:sz="0" w:space="0" w:color="auto"/>
        <w:bottom w:val="none" w:sz="0" w:space="0" w:color="auto"/>
        <w:right w:val="none" w:sz="0" w:space="0" w:color="auto"/>
      </w:divBdr>
    </w:div>
    <w:div w:id="1095780665">
      <w:bodyDiv w:val="1"/>
      <w:marLeft w:val="0"/>
      <w:marRight w:val="0"/>
      <w:marTop w:val="0"/>
      <w:marBottom w:val="0"/>
      <w:divBdr>
        <w:top w:val="none" w:sz="0" w:space="0" w:color="auto"/>
        <w:left w:val="none" w:sz="0" w:space="0" w:color="auto"/>
        <w:bottom w:val="none" w:sz="0" w:space="0" w:color="auto"/>
        <w:right w:val="none" w:sz="0" w:space="0" w:color="auto"/>
      </w:divBdr>
    </w:div>
    <w:div w:id="1110780968">
      <w:bodyDiv w:val="1"/>
      <w:marLeft w:val="0"/>
      <w:marRight w:val="0"/>
      <w:marTop w:val="0"/>
      <w:marBottom w:val="0"/>
      <w:divBdr>
        <w:top w:val="none" w:sz="0" w:space="0" w:color="auto"/>
        <w:left w:val="none" w:sz="0" w:space="0" w:color="auto"/>
        <w:bottom w:val="none" w:sz="0" w:space="0" w:color="auto"/>
        <w:right w:val="none" w:sz="0" w:space="0" w:color="auto"/>
      </w:divBdr>
    </w:div>
    <w:div w:id="1118836842">
      <w:bodyDiv w:val="1"/>
      <w:marLeft w:val="0"/>
      <w:marRight w:val="0"/>
      <w:marTop w:val="0"/>
      <w:marBottom w:val="0"/>
      <w:divBdr>
        <w:top w:val="none" w:sz="0" w:space="0" w:color="auto"/>
        <w:left w:val="none" w:sz="0" w:space="0" w:color="auto"/>
        <w:bottom w:val="none" w:sz="0" w:space="0" w:color="auto"/>
        <w:right w:val="none" w:sz="0" w:space="0" w:color="auto"/>
      </w:divBdr>
    </w:div>
    <w:div w:id="1119642579">
      <w:bodyDiv w:val="1"/>
      <w:marLeft w:val="0"/>
      <w:marRight w:val="0"/>
      <w:marTop w:val="0"/>
      <w:marBottom w:val="0"/>
      <w:divBdr>
        <w:top w:val="none" w:sz="0" w:space="0" w:color="auto"/>
        <w:left w:val="none" w:sz="0" w:space="0" w:color="auto"/>
        <w:bottom w:val="none" w:sz="0" w:space="0" w:color="auto"/>
        <w:right w:val="none" w:sz="0" w:space="0" w:color="auto"/>
      </w:divBdr>
    </w:div>
    <w:div w:id="1121529800">
      <w:bodyDiv w:val="1"/>
      <w:marLeft w:val="0"/>
      <w:marRight w:val="0"/>
      <w:marTop w:val="0"/>
      <w:marBottom w:val="0"/>
      <w:divBdr>
        <w:top w:val="none" w:sz="0" w:space="0" w:color="auto"/>
        <w:left w:val="none" w:sz="0" w:space="0" w:color="auto"/>
        <w:bottom w:val="none" w:sz="0" w:space="0" w:color="auto"/>
        <w:right w:val="none" w:sz="0" w:space="0" w:color="auto"/>
      </w:divBdr>
    </w:div>
    <w:div w:id="1128158559">
      <w:bodyDiv w:val="1"/>
      <w:marLeft w:val="0"/>
      <w:marRight w:val="0"/>
      <w:marTop w:val="0"/>
      <w:marBottom w:val="0"/>
      <w:divBdr>
        <w:top w:val="none" w:sz="0" w:space="0" w:color="auto"/>
        <w:left w:val="none" w:sz="0" w:space="0" w:color="auto"/>
        <w:bottom w:val="none" w:sz="0" w:space="0" w:color="auto"/>
        <w:right w:val="none" w:sz="0" w:space="0" w:color="auto"/>
      </w:divBdr>
    </w:div>
    <w:div w:id="1129861452">
      <w:bodyDiv w:val="1"/>
      <w:marLeft w:val="0"/>
      <w:marRight w:val="0"/>
      <w:marTop w:val="0"/>
      <w:marBottom w:val="0"/>
      <w:divBdr>
        <w:top w:val="none" w:sz="0" w:space="0" w:color="auto"/>
        <w:left w:val="none" w:sz="0" w:space="0" w:color="auto"/>
        <w:bottom w:val="none" w:sz="0" w:space="0" w:color="auto"/>
        <w:right w:val="none" w:sz="0" w:space="0" w:color="auto"/>
      </w:divBdr>
    </w:div>
    <w:div w:id="1139345455">
      <w:bodyDiv w:val="1"/>
      <w:marLeft w:val="0"/>
      <w:marRight w:val="0"/>
      <w:marTop w:val="0"/>
      <w:marBottom w:val="0"/>
      <w:divBdr>
        <w:top w:val="none" w:sz="0" w:space="0" w:color="auto"/>
        <w:left w:val="none" w:sz="0" w:space="0" w:color="auto"/>
        <w:bottom w:val="none" w:sz="0" w:space="0" w:color="auto"/>
        <w:right w:val="none" w:sz="0" w:space="0" w:color="auto"/>
      </w:divBdr>
    </w:div>
    <w:div w:id="1142693503">
      <w:bodyDiv w:val="1"/>
      <w:marLeft w:val="0"/>
      <w:marRight w:val="0"/>
      <w:marTop w:val="0"/>
      <w:marBottom w:val="0"/>
      <w:divBdr>
        <w:top w:val="none" w:sz="0" w:space="0" w:color="auto"/>
        <w:left w:val="none" w:sz="0" w:space="0" w:color="auto"/>
        <w:bottom w:val="none" w:sz="0" w:space="0" w:color="auto"/>
        <w:right w:val="none" w:sz="0" w:space="0" w:color="auto"/>
      </w:divBdr>
    </w:div>
    <w:div w:id="1144616042">
      <w:bodyDiv w:val="1"/>
      <w:marLeft w:val="0"/>
      <w:marRight w:val="0"/>
      <w:marTop w:val="0"/>
      <w:marBottom w:val="0"/>
      <w:divBdr>
        <w:top w:val="none" w:sz="0" w:space="0" w:color="auto"/>
        <w:left w:val="none" w:sz="0" w:space="0" w:color="auto"/>
        <w:bottom w:val="none" w:sz="0" w:space="0" w:color="auto"/>
        <w:right w:val="none" w:sz="0" w:space="0" w:color="auto"/>
      </w:divBdr>
    </w:div>
    <w:div w:id="1149901171">
      <w:bodyDiv w:val="1"/>
      <w:marLeft w:val="0"/>
      <w:marRight w:val="0"/>
      <w:marTop w:val="0"/>
      <w:marBottom w:val="0"/>
      <w:divBdr>
        <w:top w:val="none" w:sz="0" w:space="0" w:color="auto"/>
        <w:left w:val="none" w:sz="0" w:space="0" w:color="auto"/>
        <w:bottom w:val="none" w:sz="0" w:space="0" w:color="auto"/>
        <w:right w:val="none" w:sz="0" w:space="0" w:color="auto"/>
      </w:divBdr>
    </w:div>
    <w:div w:id="1153176285">
      <w:bodyDiv w:val="1"/>
      <w:marLeft w:val="0"/>
      <w:marRight w:val="0"/>
      <w:marTop w:val="0"/>
      <w:marBottom w:val="0"/>
      <w:divBdr>
        <w:top w:val="none" w:sz="0" w:space="0" w:color="auto"/>
        <w:left w:val="none" w:sz="0" w:space="0" w:color="auto"/>
        <w:bottom w:val="none" w:sz="0" w:space="0" w:color="auto"/>
        <w:right w:val="none" w:sz="0" w:space="0" w:color="auto"/>
      </w:divBdr>
    </w:div>
    <w:div w:id="1163203126">
      <w:bodyDiv w:val="1"/>
      <w:marLeft w:val="0"/>
      <w:marRight w:val="0"/>
      <w:marTop w:val="0"/>
      <w:marBottom w:val="0"/>
      <w:divBdr>
        <w:top w:val="none" w:sz="0" w:space="0" w:color="auto"/>
        <w:left w:val="none" w:sz="0" w:space="0" w:color="auto"/>
        <w:bottom w:val="none" w:sz="0" w:space="0" w:color="auto"/>
        <w:right w:val="none" w:sz="0" w:space="0" w:color="auto"/>
      </w:divBdr>
    </w:div>
    <w:div w:id="1177696330">
      <w:bodyDiv w:val="1"/>
      <w:marLeft w:val="0"/>
      <w:marRight w:val="0"/>
      <w:marTop w:val="0"/>
      <w:marBottom w:val="0"/>
      <w:divBdr>
        <w:top w:val="none" w:sz="0" w:space="0" w:color="auto"/>
        <w:left w:val="none" w:sz="0" w:space="0" w:color="auto"/>
        <w:bottom w:val="none" w:sz="0" w:space="0" w:color="auto"/>
        <w:right w:val="none" w:sz="0" w:space="0" w:color="auto"/>
      </w:divBdr>
    </w:div>
    <w:div w:id="1177959508">
      <w:bodyDiv w:val="1"/>
      <w:marLeft w:val="0"/>
      <w:marRight w:val="0"/>
      <w:marTop w:val="0"/>
      <w:marBottom w:val="0"/>
      <w:divBdr>
        <w:top w:val="none" w:sz="0" w:space="0" w:color="auto"/>
        <w:left w:val="none" w:sz="0" w:space="0" w:color="auto"/>
        <w:bottom w:val="none" w:sz="0" w:space="0" w:color="auto"/>
        <w:right w:val="none" w:sz="0" w:space="0" w:color="auto"/>
      </w:divBdr>
    </w:div>
    <w:div w:id="1218972800">
      <w:bodyDiv w:val="1"/>
      <w:marLeft w:val="0"/>
      <w:marRight w:val="0"/>
      <w:marTop w:val="0"/>
      <w:marBottom w:val="0"/>
      <w:divBdr>
        <w:top w:val="none" w:sz="0" w:space="0" w:color="auto"/>
        <w:left w:val="none" w:sz="0" w:space="0" w:color="auto"/>
        <w:bottom w:val="none" w:sz="0" w:space="0" w:color="auto"/>
        <w:right w:val="none" w:sz="0" w:space="0" w:color="auto"/>
      </w:divBdr>
    </w:div>
    <w:div w:id="1225023221">
      <w:bodyDiv w:val="1"/>
      <w:marLeft w:val="0"/>
      <w:marRight w:val="0"/>
      <w:marTop w:val="0"/>
      <w:marBottom w:val="0"/>
      <w:divBdr>
        <w:top w:val="none" w:sz="0" w:space="0" w:color="auto"/>
        <w:left w:val="none" w:sz="0" w:space="0" w:color="auto"/>
        <w:bottom w:val="none" w:sz="0" w:space="0" w:color="auto"/>
        <w:right w:val="none" w:sz="0" w:space="0" w:color="auto"/>
      </w:divBdr>
    </w:div>
    <w:div w:id="1241450884">
      <w:bodyDiv w:val="1"/>
      <w:marLeft w:val="0"/>
      <w:marRight w:val="0"/>
      <w:marTop w:val="0"/>
      <w:marBottom w:val="0"/>
      <w:divBdr>
        <w:top w:val="none" w:sz="0" w:space="0" w:color="auto"/>
        <w:left w:val="none" w:sz="0" w:space="0" w:color="auto"/>
        <w:bottom w:val="none" w:sz="0" w:space="0" w:color="auto"/>
        <w:right w:val="none" w:sz="0" w:space="0" w:color="auto"/>
      </w:divBdr>
    </w:div>
    <w:div w:id="1253394161">
      <w:bodyDiv w:val="1"/>
      <w:marLeft w:val="0"/>
      <w:marRight w:val="0"/>
      <w:marTop w:val="0"/>
      <w:marBottom w:val="0"/>
      <w:divBdr>
        <w:top w:val="none" w:sz="0" w:space="0" w:color="auto"/>
        <w:left w:val="none" w:sz="0" w:space="0" w:color="auto"/>
        <w:bottom w:val="none" w:sz="0" w:space="0" w:color="auto"/>
        <w:right w:val="none" w:sz="0" w:space="0" w:color="auto"/>
      </w:divBdr>
    </w:div>
    <w:div w:id="1257984372">
      <w:bodyDiv w:val="1"/>
      <w:marLeft w:val="0"/>
      <w:marRight w:val="0"/>
      <w:marTop w:val="0"/>
      <w:marBottom w:val="0"/>
      <w:divBdr>
        <w:top w:val="none" w:sz="0" w:space="0" w:color="auto"/>
        <w:left w:val="none" w:sz="0" w:space="0" w:color="auto"/>
        <w:bottom w:val="none" w:sz="0" w:space="0" w:color="auto"/>
        <w:right w:val="none" w:sz="0" w:space="0" w:color="auto"/>
      </w:divBdr>
    </w:div>
    <w:div w:id="1267232926">
      <w:bodyDiv w:val="1"/>
      <w:marLeft w:val="0"/>
      <w:marRight w:val="0"/>
      <w:marTop w:val="0"/>
      <w:marBottom w:val="0"/>
      <w:divBdr>
        <w:top w:val="none" w:sz="0" w:space="0" w:color="auto"/>
        <w:left w:val="none" w:sz="0" w:space="0" w:color="auto"/>
        <w:bottom w:val="none" w:sz="0" w:space="0" w:color="auto"/>
        <w:right w:val="none" w:sz="0" w:space="0" w:color="auto"/>
      </w:divBdr>
    </w:div>
    <w:div w:id="1267351242">
      <w:bodyDiv w:val="1"/>
      <w:marLeft w:val="0"/>
      <w:marRight w:val="0"/>
      <w:marTop w:val="0"/>
      <w:marBottom w:val="0"/>
      <w:divBdr>
        <w:top w:val="none" w:sz="0" w:space="0" w:color="auto"/>
        <w:left w:val="none" w:sz="0" w:space="0" w:color="auto"/>
        <w:bottom w:val="none" w:sz="0" w:space="0" w:color="auto"/>
        <w:right w:val="none" w:sz="0" w:space="0" w:color="auto"/>
      </w:divBdr>
    </w:div>
    <w:div w:id="1283918142">
      <w:bodyDiv w:val="1"/>
      <w:marLeft w:val="0"/>
      <w:marRight w:val="0"/>
      <w:marTop w:val="0"/>
      <w:marBottom w:val="0"/>
      <w:divBdr>
        <w:top w:val="none" w:sz="0" w:space="0" w:color="auto"/>
        <w:left w:val="none" w:sz="0" w:space="0" w:color="auto"/>
        <w:bottom w:val="none" w:sz="0" w:space="0" w:color="auto"/>
        <w:right w:val="none" w:sz="0" w:space="0" w:color="auto"/>
      </w:divBdr>
    </w:div>
    <w:div w:id="1289437304">
      <w:bodyDiv w:val="1"/>
      <w:marLeft w:val="0"/>
      <w:marRight w:val="0"/>
      <w:marTop w:val="0"/>
      <w:marBottom w:val="0"/>
      <w:divBdr>
        <w:top w:val="none" w:sz="0" w:space="0" w:color="auto"/>
        <w:left w:val="none" w:sz="0" w:space="0" w:color="auto"/>
        <w:bottom w:val="none" w:sz="0" w:space="0" w:color="auto"/>
        <w:right w:val="none" w:sz="0" w:space="0" w:color="auto"/>
      </w:divBdr>
    </w:div>
    <w:div w:id="1306928082">
      <w:bodyDiv w:val="1"/>
      <w:marLeft w:val="0"/>
      <w:marRight w:val="0"/>
      <w:marTop w:val="0"/>
      <w:marBottom w:val="0"/>
      <w:divBdr>
        <w:top w:val="none" w:sz="0" w:space="0" w:color="auto"/>
        <w:left w:val="none" w:sz="0" w:space="0" w:color="auto"/>
        <w:bottom w:val="none" w:sz="0" w:space="0" w:color="auto"/>
        <w:right w:val="none" w:sz="0" w:space="0" w:color="auto"/>
      </w:divBdr>
    </w:div>
    <w:div w:id="1310552749">
      <w:bodyDiv w:val="1"/>
      <w:marLeft w:val="0"/>
      <w:marRight w:val="0"/>
      <w:marTop w:val="0"/>
      <w:marBottom w:val="0"/>
      <w:divBdr>
        <w:top w:val="none" w:sz="0" w:space="0" w:color="auto"/>
        <w:left w:val="none" w:sz="0" w:space="0" w:color="auto"/>
        <w:bottom w:val="none" w:sz="0" w:space="0" w:color="auto"/>
        <w:right w:val="none" w:sz="0" w:space="0" w:color="auto"/>
      </w:divBdr>
    </w:div>
    <w:div w:id="1314069740">
      <w:bodyDiv w:val="1"/>
      <w:marLeft w:val="0"/>
      <w:marRight w:val="0"/>
      <w:marTop w:val="0"/>
      <w:marBottom w:val="0"/>
      <w:divBdr>
        <w:top w:val="none" w:sz="0" w:space="0" w:color="auto"/>
        <w:left w:val="none" w:sz="0" w:space="0" w:color="auto"/>
        <w:bottom w:val="none" w:sz="0" w:space="0" w:color="auto"/>
        <w:right w:val="none" w:sz="0" w:space="0" w:color="auto"/>
      </w:divBdr>
    </w:div>
    <w:div w:id="1314990620">
      <w:bodyDiv w:val="1"/>
      <w:marLeft w:val="0"/>
      <w:marRight w:val="0"/>
      <w:marTop w:val="0"/>
      <w:marBottom w:val="0"/>
      <w:divBdr>
        <w:top w:val="none" w:sz="0" w:space="0" w:color="auto"/>
        <w:left w:val="none" w:sz="0" w:space="0" w:color="auto"/>
        <w:bottom w:val="none" w:sz="0" w:space="0" w:color="auto"/>
        <w:right w:val="none" w:sz="0" w:space="0" w:color="auto"/>
      </w:divBdr>
    </w:div>
    <w:div w:id="1330020196">
      <w:bodyDiv w:val="1"/>
      <w:marLeft w:val="0"/>
      <w:marRight w:val="0"/>
      <w:marTop w:val="0"/>
      <w:marBottom w:val="0"/>
      <w:divBdr>
        <w:top w:val="none" w:sz="0" w:space="0" w:color="auto"/>
        <w:left w:val="none" w:sz="0" w:space="0" w:color="auto"/>
        <w:bottom w:val="none" w:sz="0" w:space="0" w:color="auto"/>
        <w:right w:val="none" w:sz="0" w:space="0" w:color="auto"/>
      </w:divBdr>
    </w:div>
    <w:div w:id="1330211840">
      <w:bodyDiv w:val="1"/>
      <w:marLeft w:val="0"/>
      <w:marRight w:val="0"/>
      <w:marTop w:val="0"/>
      <w:marBottom w:val="0"/>
      <w:divBdr>
        <w:top w:val="none" w:sz="0" w:space="0" w:color="auto"/>
        <w:left w:val="none" w:sz="0" w:space="0" w:color="auto"/>
        <w:bottom w:val="none" w:sz="0" w:space="0" w:color="auto"/>
        <w:right w:val="none" w:sz="0" w:space="0" w:color="auto"/>
      </w:divBdr>
    </w:div>
    <w:div w:id="1351907780">
      <w:bodyDiv w:val="1"/>
      <w:marLeft w:val="0"/>
      <w:marRight w:val="0"/>
      <w:marTop w:val="0"/>
      <w:marBottom w:val="0"/>
      <w:divBdr>
        <w:top w:val="none" w:sz="0" w:space="0" w:color="auto"/>
        <w:left w:val="none" w:sz="0" w:space="0" w:color="auto"/>
        <w:bottom w:val="none" w:sz="0" w:space="0" w:color="auto"/>
        <w:right w:val="none" w:sz="0" w:space="0" w:color="auto"/>
      </w:divBdr>
    </w:div>
    <w:div w:id="1360357205">
      <w:bodyDiv w:val="1"/>
      <w:marLeft w:val="0"/>
      <w:marRight w:val="0"/>
      <w:marTop w:val="0"/>
      <w:marBottom w:val="0"/>
      <w:divBdr>
        <w:top w:val="none" w:sz="0" w:space="0" w:color="auto"/>
        <w:left w:val="none" w:sz="0" w:space="0" w:color="auto"/>
        <w:bottom w:val="none" w:sz="0" w:space="0" w:color="auto"/>
        <w:right w:val="none" w:sz="0" w:space="0" w:color="auto"/>
      </w:divBdr>
    </w:div>
    <w:div w:id="1363549861">
      <w:bodyDiv w:val="1"/>
      <w:marLeft w:val="0"/>
      <w:marRight w:val="0"/>
      <w:marTop w:val="0"/>
      <w:marBottom w:val="0"/>
      <w:divBdr>
        <w:top w:val="none" w:sz="0" w:space="0" w:color="auto"/>
        <w:left w:val="none" w:sz="0" w:space="0" w:color="auto"/>
        <w:bottom w:val="none" w:sz="0" w:space="0" w:color="auto"/>
        <w:right w:val="none" w:sz="0" w:space="0" w:color="auto"/>
      </w:divBdr>
    </w:div>
    <w:div w:id="1380276479">
      <w:bodyDiv w:val="1"/>
      <w:marLeft w:val="0"/>
      <w:marRight w:val="0"/>
      <w:marTop w:val="0"/>
      <w:marBottom w:val="0"/>
      <w:divBdr>
        <w:top w:val="none" w:sz="0" w:space="0" w:color="auto"/>
        <w:left w:val="none" w:sz="0" w:space="0" w:color="auto"/>
        <w:bottom w:val="none" w:sz="0" w:space="0" w:color="auto"/>
        <w:right w:val="none" w:sz="0" w:space="0" w:color="auto"/>
      </w:divBdr>
    </w:div>
    <w:div w:id="1382557792">
      <w:bodyDiv w:val="1"/>
      <w:marLeft w:val="0"/>
      <w:marRight w:val="0"/>
      <w:marTop w:val="0"/>
      <w:marBottom w:val="0"/>
      <w:divBdr>
        <w:top w:val="none" w:sz="0" w:space="0" w:color="auto"/>
        <w:left w:val="none" w:sz="0" w:space="0" w:color="auto"/>
        <w:bottom w:val="none" w:sz="0" w:space="0" w:color="auto"/>
        <w:right w:val="none" w:sz="0" w:space="0" w:color="auto"/>
      </w:divBdr>
    </w:div>
    <w:div w:id="1388994322">
      <w:bodyDiv w:val="1"/>
      <w:marLeft w:val="0"/>
      <w:marRight w:val="0"/>
      <w:marTop w:val="0"/>
      <w:marBottom w:val="0"/>
      <w:divBdr>
        <w:top w:val="none" w:sz="0" w:space="0" w:color="auto"/>
        <w:left w:val="none" w:sz="0" w:space="0" w:color="auto"/>
        <w:bottom w:val="none" w:sz="0" w:space="0" w:color="auto"/>
        <w:right w:val="none" w:sz="0" w:space="0" w:color="auto"/>
      </w:divBdr>
    </w:div>
    <w:div w:id="1402751831">
      <w:bodyDiv w:val="1"/>
      <w:marLeft w:val="0"/>
      <w:marRight w:val="0"/>
      <w:marTop w:val="0"/>
      <w:marBottom w:val="0"/>
      <w:divBdr>
        <w:top w:val="none" w:sz="0" w:space="0" w:color="auto"/>
        <w:left w:val="none" w:sz="0" w:space="0" w:color="auto"/>
        <w:bottom w:val="none" w:sz="0" w:space="0" w:color="auto"/>
        <w:right w:val="none" w:sz="0" w:space="0" w:color="auto"/>
      </w:divBdr>
    </w:div>
    <w:div w:id="1407648998">
      <w:bodyDiv w:val="1"/>
      <w:marLeft w:val="0"/>
      <w:marRight w:val="0"/>
      <w:marTop w:val="0"/>
      <w:marBottom w:val="0"/>
      <w:divBdr>
        <w:top w:val="none" w:sz="0" w:space="0" w:color="auto"/>
        <w:left w:val="none" w:sz="0" w:space="0" w:color="auto"/>
        <w:bottom w:val="none" w:sz="0" w:space="0" w:color="auto"/>
        <w:right w:val="none" w:sz="0" w:space="0" w:color="auto"/>
      </w:divBdr>
      <w:divsChild>
        <w:div w:id="1448085346">
          <w:marLeft w:val="0"/>
          <w:marRight w:val="0"/>
          <w:marTop w:val="0"/>
          <w:marBottom w:val="0"/>
          <w:divBdr>
            <w:top w:val="none" w:sz="0" w:space="0" w:color="auto"/>
            <w:left w:val="none" w:sz="0" w:space="0" w:color="auto"/>
            <w:bottom w:val="none" w:sz="0" w:space="0" w:color="auto"/>
            <w:right w:val="none" w:sz="0" w:space="0" w:color="auto"/>
          </w:divBdr>
        </w:div>
      </w:divsChild>
    </w:div>
    <w:div w:id="1415544469">
      <w:bodyDiv w:val="1"/>
      <w:marLeft w:val="0"/>
      <w:marRight w:val="0"/>
      <w:marTop w:val="0"/>
      <w:marBottom w:val="0"/>
      <w:divBdr>
        <w:top w:val="none" w:sz="0" w:space="0" w:color="auto"/>
        <w:left w:val="none" w:sz="0" w:space="0" w:color="auto"/>
        <w:bottom w:val="none" w:sz="0" w:space="0" w:color="auto"/>
        <w:right w:val="none" w:sz="0" w:space="0" w:color="auto"/>
      </w:divBdr>
    </w:div>
    <w:div w:id="1417170593">
      <w:bodyDiv w:val="1"/>
      <w:marLeft w:val="0"/>
      <w:marRight w:val="0"/>
      <w:marTop w:val="0"/>
      <w:marBottom w:val="0"/>
      <w:divBdr>
        <w:top w:val="none" w:sz="0" w:space="0" w:color="auto"/>
        <w:left w:val="none" w:sz="0" w:space="0" w:color="auto"/>
        <w:bottom w:val="none" w:sz="0" w:space="0" w:color="auto"/>
        <w:right w:val="none" w:sz="0" w:space="0" w:color="auto"/>
      </w:divBdr>
    </w:div>
    <w:div w:id="1422214274">
      <w:bodyDiv w:val="1"/>
      <w:marLeft w:val="0"/>
      <w:marRight w:val="0"/>
      <w:marTop w:val="0"/>
      <w:marBottom w:val="0"/>
      <w:divBdr>
        <w:top w:val="none" w:sz="0" w:space="0" w:color="auto"/>
        <w:left w:val="none" w:sz="0" w:space="0" w:color="auto"/>
        <w:bottom w:val="none" w:sz="0" w:space="0" w:color="auto"/>
        <w:right w:val="none" w:sz="0" w:space="0" w:color="auto"/>
      </w:divBdr>
    </w:div>
    <w:div w:id="1422219896">
      <w:bodyDiv w:val="1"/>
      <w:marLeft w:val="0"/>
      <w:marRight w:val="0"/>
      <w:marTop w:val="0"/>
      <w:marBottom w:val="0"/>
      <w:divBdr>
        <w:top w:val="none" w:sz="0" w:space="0" w:color="auto"/>
        <w:left w:val="none" w:sz="0" w:space="0" w:color="auto"/>
        <w:bottom w:val="none" w:sz="0" w:space="0" w:color="auto"/>
        <w:right w:val="none" w:sz="0" w:space="0" w:color="auto"/>
      </w:divBdr>
    </w:div>
    <w:div w:id="1424112473">
      <w:bodyDiv w:val="1"/>
      <w:marLeft w:val="0"/>
      <w:marRight w:val="0"/>
      <w:marTop w:val="0"/>
      <w:marBottom w:val="0"/>
      <w:divBdr>
        <w:top w:val="none" w:sz="0" w:space="0" w:color="auto"/>
        <w:left w:val="none" w:sz="0" w:space="0" w:color="auto"/>
        <w:bottom w:val="none" w:sz="0" w:space="0" w:color="auto"/>
        <w:right w:val="none" w:sz="0" w:space="0" w:color="auto"/>
      </w:divBdr>
    </w:div>
    <w:div w:id="1433159231">
      <w:bodyDiv w:val="1"/>
      <w:marLeft w:val="0"/>
      <w:marRight w:val="0"/>
      <w:marTop w:val="0"/>
      <w:marBottom w:val="0"/>
      <w:divBdr>
        <w:top w:val="none" w:sz="0" w:space="0" w:color="auto"/>
        <w:left w:val="none" w:sz="0" w:space="0" w:color="auto"/>
        <w:bottom w:val="none" w:sz="0" w:space="0" w:color="auto"/>
        <w:right w:val="none" w:sz="0" w:space="0" w:color="auto"/>
      </w:divBdr>
    </w:div>
    <w:div w:id="1435131603">
      <w:bodyDiv w:val="1"/>
      <w:marLeft w:val="0"/>
      <w:marRight w:val="0"/>
      <w:marTop w:val="0"/>
      <w:marBottom w:val="0"/>
      <w:divBdr>
        <w:top w:val="none" w:sz="0" w:space="0" w:color="auto"/>
        <w:left w:val="none" w:sz="0" w:space="0" w:color="auto"/>
        <w:bottom w:val="none" w:sz="0" w:space="0" w:color="auto"/>
        <w:right w:val="none" w:sz="0" w:space="0" w:color="auto"/>
      </w:divBdr>
    </w:div>
    <w:div w:id="1447893186">
      <w:bodyDiv w:val="1"/>
      <w:marLeft w:val="0"/>
      <w:marRight w:val="0"/>
      <w:marTop w:val="0"/>
      <w:marBottom w:val="0"/>
      <w:divBdr>
        <w:top w:val="none" w:sz="0" w:space="0" w:color="auto"/>
        <w:left w:val="none" w:sz="0" w:space="0" w:color="auto"/>
        <w:bottom w:val="none" w:sz="0" w:space="0" w:color="auto"/>
        <w:right w:val="none" w:sz="0" w:space="0" w:color="auto"/>
      </w:divBdr>
    </w:div>
    <w:div w:id="1452044048">
      <w:bodyDiv w:val="1"/>
      <w:marLeft w:val="0"/>
      <w:marRight w:val="0"/>
      <w:marTop w:val="0"/>
      <w:marBottom w:val="0"/>
      <w:divBdr>
        <w:top w:val="none" w:sz="0" w:space="0" w:color="auto"/>
        <w:left w:val="none" w:sz="0" w:space="0" w:color="auto"/>
        <w:bottom w:val="none" w:sz="0" w:space="0" w:color="auto"/>
        <w:right w:val="none" w:sz="0" w:space="0" w:color="auto"/>
      </w:divBdr>
    </w:div>
    <w:div w:id="1469400649">
      <w:bodyDiv w:val="1"/>
      <w:marLeft w:val="0"/>
      <w:marRight w:val="0"/>
      <w:marTop w:val="0"/>
      <w:marBottom w:val="0"/>
      <w:divBdr>
        <w:top w:val="none" w:sz="0" w:space="0" w:color="auto"/>
        <w:left w:val="none" w:sz="0" w:space="0" w:color="auto"/>
        <w:bottom w:val="none" w:sz="0" w:space="0" w:color="auto"/>
        <w:right w:val="none" w:sz="0" w:space="0" w:color="auto"/>
      </w:divBdr>
    </w:div>
    <w:div w:id="1473910534">
      <w:bodyDiv w:val="1"/>
      <w:marLeft w:val="0"/>
      <w:marRight w:val="0"/>
      <w:marTop w:val="0"/>
      <w:marBottom w:val="0"/>
      <w:divBdr>
        <w:top w:val="none" w:sz="0" w:space="0" w:color="auto"/>
        <w:left w:val="none" w:sz="0" w:space="0" w:color="auto"/>
        <w:bottom w:val="none" w:sz="0" w:space="0" w:color="auto"/>
        <w:right w:val="none" w:sz="0" w:space="0" w:color="auto"/>
      </w:divBdr>
    </w:div>
    <w:div w:id="1481968907">
      <w:bodyDiv w:val="1"/>
      <w:marLeft w:val="0"/>
      <w:marRight w:val="0"/>
      <w:marTop w:val="0"/>
      <w:marBottom w:val="0"/>
      <w:divBdr>
        <w:top w:val="none" w:sz="0" w:space="0" w:color="auto"/>
        <w:left w:val="none" w:sz="0" w:space="0" w:color="auto"/>
        <w:bottom w:val="none" w:sz="0" w:space="0" w:color="auto"/>
        <w:right w:val="none" w:sz="0" w:space="0" w:color="auto"/>
      </w:divBdr>
    </w:div>
    <w:div w:id="1482305158">
      <w:bodyDiv w:val="1"/>
      <w:marLeft w:val="0"/>
      <w:marRight w:val="0"/>
      <w:marTop w:val="0"/>
      <w:marBottom w:val="0"/>
      <w:divBdr>
        <w:top w:val="none" w:sz="0" w:space="0" w:color="auto"/>
        <w:left w:val="none" w:sz="0" w:space="0" w:color="auto"/>
        <w:bottom w:val="none" w:sz="0" w:space="0" w:color="auto"/>
        <w:right w:val="none" w:sz="0" w:space="0" w:color="auto"/>
      </w:divBdr>
    </w:div>
    <w:div w:id="1495609496">
      <w:bodyDiv w:val="1"/>
      <w:marLeft w:val="0"/>
      <w:marRight w:val="0"/>
      <w:marTop w:val="0"/>
      <w:marBottom w:val="0"/>
      <w:divBdr>
        <w:top w:val="none" w:sz="0" w:space="0" w:color="auto"/>
        <w:left w:val="none" w:sz="0" w:space="0" w:color="auto"/>
        <w:bottom w:val="none" w:sz="0" w:space="0" w:color="auto"/>
        <w:right w:val="none" w:sz="0" w:space="0" w:color="auto"/>
      </w:divBdr>
    </w:div>
    <w:div w:id="1497379510">
      <w:bodyDiv w:val="1"/>
      <w:marLeft w:val="0"/>
      <w:marRight w:val="0"/>
      <w:marTop w:val="0"/>
      <w:marBottom w:val="0"/>
      <w:divBdr>
        <w:top w:val="none" w:sz="0" w:space="0" w:color="auto"/>
        <w:left w:val="none" w:sz="0" w:space="0" w:color="auto"/>
        <w:bottom w:val="none" w:sz="0" w:space="0" w:color="auto"/>
        <w:right w:val="none" w:sz="0" w:space="0" w:color="auto"/>
      </w:divBdr>
    </w:div>
    <w:div w:id="1510484452">
      <w:bodyDiv w:val="1"/>
      <w:marLeft w:val="0"/>
      <w:marRight w:val="0"/>
      <w:marTop w:val="0"/>
      <w:marBottom w:val="0"/>
      <w:divBdr>
        <w:top w:val="none" w:sz="0" w:space="0" w:color="auto"/>
        <w:left w:val="none" w:sz="0" w:space="0" w:color="auto"/>
        <w:bottom w:val="none" w:sz="0" w:space="0" w:color="auto"/>
        <w:right w:val="none" w:sz="0" w:space="0" w:color="auto"/>
      </w:divBdr>
    </w:div>
    <w:div w:id="1510560303">
      <w:bodyDiv w:val="1"/>
      <w:marLeft w:val="0"/>
      <w:marRight w:val="0"/>
      <w:marTop w:val="0"/>
      <w:marBottom w:val="0"/>
      <w:divBdr>
        <w:top w:val="none" w:sz="0" w:space="0" w:color="auto"/>
        <w:left w:val="none" w:sz="0" w:space="0" w:color="auto"/>
        <w:bottom w:val="none" w:sz="0" w:space="0" w:color="auto"/>
        <w:right w:val="none" w:sz="0" w:space="0" w:color="auto"/>
      </w:divBdr>
    </w:div>
    <w:div w:id="1512141162">
      <w:bodyDiv w:val="1"/>
      <w:marLeft w:val="0"/>
      <w:marRight w:val="0"/>
      <w:marTop w:val="0"/>
      <w:marBottom w:val="0"/>
      <w:divBdr>
        <w:top w:val="none" w:sz="0" w:space="0" w:color="auto"/>
        <w:left w:val="none" w:sz="0" w:space="0" w:color="auto"/>
        <w:bottom w:val="none" w:sz="0" w:space="0" w:color="auto"/>
        <w:right w:val="none" w:sz="0" w:space="0" w:color="auto"/>
      </w:divBdr>
    </w:div>
    <w:div w:id="1521972713">
      <w:bodyDiv w:val="1"/>
      <w:marLeft w:val="0"/>
      <w:marRight w:val="0"/>
      <w:marTop w:val="0"/>
      <w:marBottom w:val="0"/>
      <w:divBdr>
        <w:top w:val="none" w:sz="0" w:space="0" w:color="auto"/>
        <w:left w:val="none" w:sz="0" w:space="0" w:color="auto"/>
        <w:bottom w:val="none" w:sz="0" w:space="0" w:color="auto"/>
        <w:right w:val="none" w:sz="0" w:space="0" w:color="auto"/>
      </w:divBdr>
    </w:div>
    <w:div w:id="1525245182">
      <w:bodyDiv w:val="1"/>
      <w:marLeft w:val="0"/>
      <w:marRight w:val="0"/>
      <w:marTop w:val="0"/>
      <w:marBottom w:val="0"/>
      <w:divBdr>
        <w:top w:val="none" w:sz="0" w:space="0" w:color="auto"/>
        <w:left w:val="none" w:sz="0" w:space="0" w:color="auto"/>
        <w:bottom w:val="none" w:sz="0" w:space="0" w:color="auto"/>
        <w:right w:val="none" w:sz="0" w:space="0" w:color="auto"/>
      </w:divBdr>
    </w:div>
    <w:div w:id="1526402917">
      <w:bodyDiv w:val="1"/>
      <w:marLeft w:val="0"/>
      <w:marRight w:val="0"/>
      <w:marTop w:val="0"/>
      <w:marBottom w:val="0"/>
      <w:divBdr>
        <w:top w:val="none" w:sz="0" w:space="0" w:color="auto"/>
        <w:left w:val="none" w:sz="0" w:space="0" w:color="auto"/>
        <w:bottom w:val="none" w:sz="0" w:space="0" w:color="auto"/>
        <w:right w:val="none" w:sz="0" w:space="0" w:color="auto"/>
      </w:divBdr>
    </w:div>
    <w:div w:id="1527450438">
      <w:bodyDiv w:val="1"/>
      <w:marLeft w:val="0"/>
      <w:marRight w:val="0"/>
      <w:marTop w:val="0"/>
      <w:marBottom w:val="0"/>
      <w:divBdr>
        <w:top w:val="none" w:sz="0" w:space="0" w:color="auto"/>
        <w:left w:val="none" w:sz="0" w:space="0" w:color="auto"/>
        <w:bottom w:val="none" w:sz="0" w:space="0" w:color="auto"/>
        <w:right w:val="none" w:sz="0" w:space="0" w:color="auto"/>
      </w:divBdr>
    </w:div>
    <w:div w:id="1527526221">
      <w:bodyDiv w:val="1"/>
      <w:marLeft w:val="0"/>
      <w:marRight w:val="0"/>
      <w:marTop w:val="0"/>
      <w:marBottom w:val="0"/>
      <w:divBdr>
        <w:top w:val="none" w:sz="0" w:space="0" w:color="auto"/>
        <w:left w:val="none" w:sz="0" w:space="0" w:color="auto"/>
        <w:bottom w:val="none" w:sz="0" w:space="0" w:color="auto"/>
        <w:right w:val="none" w:sz="0" w:space="0" w:color="auto"/>
      </w:divBdr>
    </w:div>
    <w:div w:id="1528178625">
      <w:bodyDiv w:val="1"/>
      <w:marLeft w:val="0"/>
      <w:marRight w:val="0"/>
      <w:marTop w:val="0"/>
      <w:marBottom w:val="0"/>
      <w:divBdr>
        <w:top w:val="none" w:sz="0" w:space="0" w:color="auto"/>
        <w:left w:val="none" w:sz="0" w:space="0" w:color="auto"/>
        <w:bottom w:val="none" w:sz="0" w:space="0" w:color="auto"/>
        <w:right w:val="none" w:sz="0" w:space="0" w:color="auto"/>
      </w:divBdr>
    </w:div>
    <w:div w:id="1537113169">
      <w:bodyDiv w:val="1"/>
      <w:marLeft w:val="0"/>
      <w:marRight w:val="0"/>
      <w:marTop w:val="0"/>
      <w:marBottom w:val="0"/>
      <w:divBdr>
        <w:top w:val="none" w:sz="0" w:space="0" w:color="auto"/>
        <w:left w:val="none" w:sz="0" w:space="0" w:color="auto"/>
        <w:bottom w:val="none" w:sz="0" w:space="0" w:color="auto"/>
        <w:right w:val="none" w:sz="0" w:space="0" w:color="auto"/>
      </w:divBdr>
    </w:div>
    <w:div w:id="1537427827">
      <w:bodyDiv w:val="1"/>
      <w:marLeft w:val="0"/>
      <w:marRight w:val="0"/>
      <w:marTop w:val="0"/>
      <w:marBottom w:val="0"/>
      <w:divBdr>
        <w:top w:val="none" w:sz="0" w:space="0" w:color="auto"/>
        <w:left w:val="none" w:sz="0" w:space="0" w:color="auto"/>
        <w:bottom w:val="none" w:sz="0" w:space="0" w:color="auto"/>
        <w:right w:val="none" w:sz="0" w:space="0" w:color="auto"/>
      </w:divBdr>
    </w:div>
    <w:div w:id="1538421518">
      <w:bodyDiv w:val="1"/>
      <w:marLeft w:val="0"/>
      <w:marRight w:val="0"/>
      <w:marTop w:val="0"/>
      <w:marBottom w:val="0"/>
      <w:divBdr>
        <w:top w:val="none" w:sz="0" w:space="0" w:color="auto"/>
        <w:left w:val="none" w:sz="0" w:space="0" w:color="auto"/>
        <w:bottom w:val="none" w:sz="0" w:space="0" w:color="auto"/>
        <w:right w:val="none" w:sz="0" w:space="0" w:color="auto"/>
      </w:divBdr>
    </w:div>
    <w:div w:id="1555267566">
      <w:bodyDiv w:val="1"/>
      <w:marLeft w:val="0"/>
      <w:marRight w:val="0"/>
      <w:marTop w:val="0"/>
      <w:marBottom w:val="0"/>
      <w:divBdr>
        <w:top w:val="none" w:sz="0" w:space="0" w:color="auto"/>
        <w:left w:val="none" w:sz="0" w:space="0" w:color="auto"/>
        <w:bottom w:val="none" w:sz="0" w:space="0" w:color="auto"/>
        <w:right w:val="none" w:sz="0" w:space="0" w:color="auto"/>
      </w:divBdr>
      <w:divsChild>
        <w:div w:id="853611470">
          <w:marLeft w:val="0"/>
          <w:marRight w:val="0"/>
          <w:marTop w:val="45"/>
          <w:marBottom w:val="180"/>
          <w:divBdr>
            <w:top w:val="single" w:sz="18" w:space="11" w:color="4E4E4E"/>
            <w:left w:val="none" w:sz="0" w:space="0" w:color="auto"/>
            <w:bottom w:val="none" w:sz="0" w:space="0" w:color="auto"/>
            <w:right w:val="none" w:sz="0" w:space="0" w:color="auto"/>
          </w:divBdr>
          <w:divsChild>
            <w:div w:id="1617708902">
              <w:marLeft w:val="150"/>
              <w:marRight w:val="0"/>
              <w:marTop w:val="0"/>
              <w:marBottom w:val="225"/>
              <w:divBdr>
                <w:top w:val="none" w:sz="0" w:space="0" w:color="auto"/>
                <w:left w:val="none" w:sz="0" w:space="0" w:color="auto"/>
                <w:bottom w:val="none" w:sz="0" w:space="0" w:color="auto"/>
                <w:right w:val="none" w:sz="0" w:space="0" w:color="auto"/>
              </w:divBdr>
              <w:divsChild>
                <w:div w:id="112612483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585840174">
      <w:bodyDiv w:val="1"/>
      <w:marLeft w:val="0"/>
      <w:marRight w:val="0"/>
      <w:marTop w:val="0"/>
      <w:marBottom w:val="0"/>
      <w:divBdr>
        <w:top w:val="none" w:sz="0" w:space="0" w:color="auto"/>
        <w:left w:val="none" w:sz="0" w:space="0" w:color="auto"/>
        <w:bottom w:val="none" w:sz="0" w:space="0" w:color="auto"/>
        <w:right w:val="none" w:sz="0" w:space="0" w:color="auto"/>
      </w:divBdr>
    </w:div>
    <w:div w:id="1588805153">
      <w:bodyDiv w:val="1"/>
      <w:marLeft w:val="0"/>
      <w:marRight w:val="0"/>
      <w:marTop w:val="0"/>
      <w:marBottom w:val="0"/>
      <w:divBdr>
        <w:top w:val="none" w:sz="0" w:space="0" w:color="auto"/>
        <w:left w:val="none" w:sz="0" w:space="0" w:color="auto"/>
        <w:bottom w:val="none" w:sz="0" w:space="0" w:color="auto"/>
        <w:right w:val="none" w:sz="0" w:space="0" w:color="auto"/>
      </w:divBdr>
    </w:div>
    <w:div w:id="1591424295">
      <w:bodyDiv w:val="1"/>
      <w:marLeft w:val="0"/>
      <w:marRight w:val="0"/>
      <w:marTop w:val="0"/>
      <w:marBottom w:val="0"/>
      <w:divBdr>
        <w:top w:val="none" w:sz="0" w:space="0" w:color="auto"/>
        <w:left w:val="none" w:sz="0" w:space="0" w:color="auto"/>
        <w:bottom w:val="none" w:sz="0" w:space="0" w:color="auto"/>
        <w:right w:val="none" w:sz="0" w:space="0" w:color="auto"/>
      </w:divBdr>
    </w:div>
    <w:div w:id="1593388784">
      <w:bodyDiv w:val="1"/>
      <w:marLeft w:val="0"/>
      <w:marRight w:val="0"/>
      <w:marTop w:val="0"/>
      <w:marBottom w:val="0"/>
      <w:divBdr>
        <w:top w:val="none" w:sz="0" w:space="0" w:color="auto"/>
        <w:left w:val="none" w:sz="0" w:space="0" w:color="auto"/>
        <w:bottom w:val="none" w:sz="0" w:space="0" w:color="auto"/>
        <w:right w:val="none" w:sz="0" w:space="0" w:color="auto"/>
      </w:divBdr>
    </w:div>
    <w:div w:id="1593396047">
      <w:bodyDiv w:val="1"/>
      <w:marLeft w:val="0"/>
      <w:marRight w:val="0"/>
      <w:marTop w:val="0"/>
      <w:marBottom w:val="0"/>
      <w:divBdr>
        <w:top w:val="none" w:sz="0" w:space="0" w:color="auto"/>
        <w:left w:val="none" w:sz="0" w:space="0" w:color="auto"/>
        <w:bottom w:val="none" w:sz="0" w:space="0" w:color="auto"/>
        <w:right w:val="none" w:sz="0" w:space="0" w:color="auto"/>
      </w:divBdr>
    </w:div>
    <w:div w:id="1611812290">
      <w:bodyDiv w:val="1"/>
      <w:marLeft w:val="0"/>
      <w:marRight w:val="0"/>
      <w:marTop w:val="0"/>
      <w:marBottom w:val="0"/>
      <w:divBdr>
        <w:top w:val="none" w:sz="0" w:space="0" w:color="auto"/>
        <w:left w:val="none" w:sz="0" w:space="0" w:color="auto"/>
        <w:bottom w:val="none" w:sz="0" w:space="0" w:color="auto"/>
        <w:right w:val="none" w:sz="0" w:space="0" w:color="auto"/>
      </w:divBdr>
    </w:div>
    <w:div w:id="1613706497">
      <w:bodyDiv w:val="1"/>
      <w:marLeft w:val="0"/>
      <w:marRight w:val="0"/>
      <w:marTop w:val="0"/>
      <w:marBottom w:val="0"/>
      <w:divBdr>
        <w:top w:val="none" w:sz="0" w:space="0" w:color="auto"/>
        <w:left w:val="none" w:sz="0" w:space="0" w:color="auto"/>
        <w:bottom w:val="none" w:sz="0" w:space="0" w:color="auto"/>
        <w:right w:val="none" w:sz="0" w:space="0" w:color="auto"/>
      </w:divBdr>
    </w:div>
    <w:div w:id="1632857211">
      <w:bodyDiv w:val="1"/>
      <w:marLeft w:val="0"/>
      <w:marRight w:val="0"/>
      <w:marTop w:val="0"/>
      <w:marBottom w:val="0"/>
      <w:divBdr>
        <w:top w:val="none" w:sz="0" w:space="0" w:color="auto"/>
        <w:left w:val="none" w:sz="0" w:space="0" w:color="auto"/>
        <w:bottom w:val="none" w:sz="0" w:space="0" w:color="auto"/>
        <w:right w:val="none" w:sz="0" w:space="0" w:color="auto"/>
      </w:divBdr>
    </w:div>
    <w:div w:id="1634795612">
      <w:bodyDiv w:val="1"/>
      <w:marLeft w:val="0"/>
      <w:marRight w:val="0"/>
      <w:marTop w:val="0"/>
      <w:marBottom w:val="0"/>
      <w:divBdr>
        <w:top w:val="none" w:sz="0" w:space="0" w:color="auto"/>
        <w:left w:val="none" w:sz="0" w:space="0" w:color="auto"/>
        <w:bottom w:val="none" w:sz="0" w:space="0" w:color="auto"/>
        <w:right w:val="none" w:sz="0" w:space="0" w:color="auto"/>
      </w:divBdr>
    </w:div>
    <w:div w:id="1635137827">
      <w:bodyDiv w:val="1"/>
      <w:marLeft w:val="0"/>
      <w:marRight w:val="0"/>
      <w:marTop w:val="0"/>
      <w:marBottom w:val="0"/>
      <w:divBdr>
        <w:top w:val="none" w:sz="0" w:space="0" w:color="auto"/>
        <w:left w:val="none" w:sz="0" w:space="0" w:color="auto"/>
        <w:bottom w:val="none" w:sz="0" w:space="0" w:color="auto"/>
        <w:right w:val="none" w:sz="0" w:space="0" w:color="auto"/>
      </w:divBdr>
    </w:div>
    <w:div w:id="1650161808">
      <w:bodyDiv w:val="1"/>
      <w:marLeft w:val="0"/>
      <w:marRight w:val="0"/>
      <w:marTop w:val="0"/>
      <w:marBottom w:val="0"/>
      <w:divBdr>
        <w:top w:val="none" w:sz="0" w:space="0" w:color="auto"/>
        <w:left w:val="none" w:sz="0" w:space="0" w:color="auto"/>
        <w:bottom w:val="none" w:sz="0" w:space="0" w:color="auto"/>
        <w:right w:val="none" w:sz="0" w:space="0" w:color="auto"/>
      </w:divBdr>
    </w:div>
    <w:div w:id="1655061827">
      <w:bodyDiv w:val="1"/>
      <w:marLeft w:val="0"/>
      <w:marRight w:val="0"/>
      <w:marTop w:val="0"/>
      <w:marBottom w:val="0"/>
      <w:divBdr>
        <w:top w:val="none" w:sz="0" w:space="0" w:color="auto"/>
        <w:left w:val="none" w:sz="0" w:space="0" w:color="auto"/>
        <w:bottom w:val="none" w:sz="0" w:space="0" w:color="auto"/>
        <w:right w:val="none" w:sz="0" w:space="0" w:color="auto"/>
      </w:divBdr>
    </w:div>
    <w:div w:id="1670408581">
      <w:bodyDiv w:val="1"/>
      <w:marLeft w:val="0"/>
      <w:marRight w:val="0"/>
      <w:marTop w:val="0"/>
      <w:marBottom w:val="0"/>
      <w:divBdr>
        <w:top w:val="none" w:sz="0" w:space="0" w:color="auto"/>
        <w:left w:val="none" w:sz="0" w:space="0" w:color="auto"/>
        <w:bottom w:val="none" w:sz="0" w:space="0" w:color="auto"/>
        <w:right w:val="none" w:sz="0" w:space="0" w:color="auto"/>
      </w:divBdr>
    </w:div>
    <w:div w:id="1670595402">
      <w:bodyDiv w:val="1"/>
      <w:marLeft w:val="0"/>
      <w:marRight w:val="0"/>
      <w:marTop w:val="0"/>
      <w:marBottom w:val="0"/>
      <w:divBdr>
        <w:top w:val="none" w:sz="0" w:space="0" w:color="auto"/>
        <w:left w:val="none" w:sz="0" w:space="0" w:color="auto"/>
        <w:bottom w:val="none" w:sz="0" w:space="0" w:color="auto"/>
        <w:right w:val="none" w:sz="0" w:space="0" w:color="auto"/>
      </w:divBdr>
    </w:div>
    <w:div w:id="1679696781">
      <w:bodyDiv w:val="1"/>
      <w:marLeft w:val="0"/>
      <w:marRight w:val="0"/>
      <w:marTop w:val="0"/>
      <w:marBottom w:val="0"/>
      <w:divBdr>
        <w:top w:val="none" w:sz="0" w:space="0" w:color="auto"/>
        <w:left w:val="none" w:sz="0" w:space="0" w:color="auto"/>
        <w:bottom w:val="none" w:sz="0" w:space="0" w:color="auto"/>
        <w:right w:val="none" w:sz="0" w:space="0" w:color="auto"/>
      </w:divBdr>
    </w:div>
    <w:div w:id="1683429187">
      <w:bodyDiv w:val="1"/>
      <w:marLeft w:val="0"/>
      <w:marRight w:val="0"/>
      <w:marTop w:val="0"/>
      <w:marBottom w:val="0"/>
      <w:divBdr>
        <w:top w:val="none" w:sz="0" w:space="0" w:color="auto"/>
        <w:left w:val="none" w:sz="0" w:space="0" w:color="auto"/>
        <w:bottom w:val="none" w:sz="0" w:space="0" w:color="auto"/>
        <w:right w:val="none" w:sz="0" w:space="0" w:color="auto"/>
      </w:divBdr>
    </w:div>
    <w:div w:id="1683581467">
      <w:bodyDiv w:val="1"/>
      <w:marLeft w:val="0"/>
      <w:marRight w:val="0"/>
      <w:marTop w:val="0"/>
      <w:marBottom w:val="0"/>
      <w:divBdr>
        <w:top w:val="none" w:sz="0" w:space="0" w:color="auto"/>
        <w:left w:val="none" w:sz="0" w:space="0" w:color="auto"/>
        <w:bottom w:val="none" w:sz="0" w:space="0" w:color="auto"/>
        <w:right w:val="none" w:sz="0" w:space="0" w:color="auto"/>
      </w:divBdr>
    </w:div>
    <w:div w:id="1686057669">
      <w:bodyDiv w:val="1"/>
      <w:marLeft w:val="0"/>
      <w:marRight w:val="0"/>
      <w:marTop w:val="0"/>
      <w:marBottom w:val="0"/>
      <w:divBdr>
        <w:top w:val="none" w:sz="0" w:space="0" w:color="auto"/>
        <w:left w:val="none" w:sz="0" w:space="0" w:color="auto"/>
        <w:bottom w:val="none" w:sz="0" w:space="0" w:color="auto"/>
        <w:right w:val="none" w:sz="0" w:space="0" w:color="auto"/>
      </w:divBdr>
    </w:div>
    <w:div w:id="1697124028">
      <w:bodyDiv w:val="1"/>
      <w:marLeft w:val="0"/>
      <w:marRight w:val="0"/>
      <w:marTop w:val="0"/>
      <w:marBottom w:val="0"/>
      <w:divBdr>
        <w:top w:val="none" w:sz="0" w:space="0" w:color="auto"/>
        <w:left w:val="none" w:sz="0" w:space="0" w:color="auto"/>
        <w:bottom w:val="none" w:sz="0" w:space="0" w:color="auto"/>
        <w:right w:val="none" w:sz="0" w:space="0" w:color="auto"/>
      </w:divBdr>
    </w:div>
    <w:div w:id="1700625956">
      <w:bodyDiv w:val="1"/>
      <w:marLeft w:val="0"/>
      <w:marRight w:val="0"/>
      <w:marTop w:val="0"/>
      <w:marBottom w:val="0"/>
      <w:divBdr>
        <w:top w:val="none" w:sz="0" w:space="0" w:color="auto"/>
        <w:left w:val="none" w:sz="0" w:space="0" w:color="auto"/>
        <w:bottom w:val="none" w:sz="0" w:space="0" w:color="auto"/>
        <w:right w:val="none" w:sz="0" w:space="0" w:color="auto"/>
      </w:divBdr>
    </w:div>
    <w:div w:id="1713654515">
      <w:bodyDiv w:val="1"/>
      <w:marLeft w:val="0"/>
      <w:marRight w:val="0"/>
      <w:marTop w:val="0"/>
      <w:marBottom w:val="0"/>
      <w:divBdr>
        <w:top w:val="none" w:sz="0" w:space="0" w:color="auto"/>
        <w:left w:val="none" w:sz="0" w:space="0" w:color="auto"/>
        <w:bottom w:val="none" w:sz="0" w:space="0" w:color="auto"/>
        <w:right w:val="none" w:sz="0" w:space="0" w:color="auto"/>
      </w:divBdr>
    </w:div>
    <w:div w:id="1721712973">
      <w:bodyDiv w:val="1"/>
      <w:marLeft w:val="0"/>
      <w:marRight w:val="0"/>
      <w:marTop w:val="0"/>
      <w:marBottom w:val="0"/>
      <w:divBdr>
        <w:top w:val="none" w:sz="0" w:space="0" w:color="auto"/>
        <w:left w:val="none" w:sz="0" w:space="0" w:color="auto"/>
        <w:bottom w:val="none" w:sz="0" w:space="0" w:color="auto"/>
        <w:right w:val="none" w:sz="0" w:space="0" w:color="auto"/>
      </w:divBdr>
    </w:div>
    <w:div w:id="1727878311">
      <w:bodyDiv w:val="1"/>
      <w:marLeft w:val="0"/>
      <w:marRight w:val="0"/>
      <w:marTop w:val="0"/>
      <w:marBottom w:val="0"/>
      <w:divBdr>
        <w:top w:val="none" w:sz="0" w:space="0" w:color="auto"/>
        <w:left w:val="none" w:sz="0" w:space="0" w:color="auto"/>
        <w:bottom w:val="none" w:sz="0" w:space="0" w:color="auto"/>
        <w:right w:val="none" w:sz="0" w:space="0" w:color="auto"/>
      </w:divBdr>
    </w:div>
    <w:div w:id="1727990981">
      <w:bodyDiv w:val="1"/>
      <w:marLeft w:val="0"/>
      <w:marRight w:val="0"/>
      <w:marTop w:val="0"/>
      <w:marBottom w:val="0"/>
      <w:divBdr>
        <w:top w:val="none" w:sz="0" w:space="0" w:color="auto"/>
        <w:left w:val="none" w:sz="0" w:space="0" w:color="auto"/>
        <w:bottom w:val="none" w:sz="0" w:space="0" w:color="auto"/>
        <w:right w:val="none" w:sz="0" w:space="0" w:color="auto"/>
      </w:divBdr>
    </w:div>
    <w:div w:id="1750273444">
      <w:bodyDiv w:val="1"/>
      <w:marLeft w:val="0"/>
      <w:marRight w:val="0"/>
      <w:marTop w:val="0"/>
      <w:marBottom w:val="0"/>
      <w:divBdr>
        <w:top w:val="none" w:sz="0" w:space="0" w:color="auto"/>
        <w:left w:val="none" w:sz="0" w:space="0" w:color="auto"/>
        <w:bottom w:val="none" w:sz="0" w:space="0" w:color="auto"/>
        <w:right w:val="none" w:sz="0" w:space="0" w:color="auto"/>
      </w:divBdr>
    </w:div>
    <w:div w:id="1750737964">
      <w:bodyDiv w:val="1"/>
      <w:marLeft w:val="0"/>
      <w:marRight w:val="0"/>
      <w:marTop w:val="0"/>
      <w:marBottom w:val="0"/>
      <w:divBdr>
        <w:top w:val="none" w:sz="0" w:space="0" w:color="auto"/>
        <w:left w:val="none" w:sz="0" w:space="0" w:color="auto"/>
        <w:bottom w:val="none" w:sz="0" w:space="0" w:color="auto"/>
        <w:right w:val="none" w:sz="0" w:space="0" w:color="auto"/>
      </w:divBdr>
    </w:div>
    <w:div w:id="1764450870">
      <w:bodyDiv w:val="1"/>
      <w:marLeft w:val="0"/>
      <w:marRight w:val="0"/>
      <w:marTop w:val="0"/>
      <w:marBottom w:val="0"/>
      <w:divBdr>
        <w:top w:val="none" w:sz="0" w:space="0" w:color="auto"/>
        <w:left w:val="none" w:sz="0" w:space="0" w:color="auto"/>
        <w:bottom w:val="none" w:sz="0" w:space="0" w:color="auto"/>
        <w:right w:val="none" w:sz="0" w:space="0" w:color="auto"/>
      </w:divBdr>
    </w:div>
    <w:div w:id="1771701858">
      <w:bodyDiv w:val="1"/>
      <w:marLeft w:val="0"/>
      <w:marRight w:val="0"/>
      <w:marTop w:val="0"/>
      <w:marBottom w:val="0"/>
      <w:divBdr>
        <w:top w:val="none" w:sz="0" w:space="0" w:color="auto"/>
        <w:left w:val="none" w:sz="0" w:space="0" w:color="auto"/>
        <w:bottom w:val="none" w:sz="0" w:space="0" w:color="auto"/>
        <w:right w:val="none" w:sz="0" w:space="0" w:color="auto"/>
      </w:divBdr>
    </w:div>
    <w:div w:id="1798910220">
      <w:bodyDiv w:val="1"/>
      <w:marLeft w:val="0"/>
      <w:marRight w:val="0"/>
      <w:marTop w:val="0"/>
      <w:marBottom w:val="0"/>
      <w:divBdr>
        <w:top w:val="none" w:sz="0" w:space="0" w:color="auto"/>
        <w:left w:val="none" w:sz="0" w:space="0" w:color="auto"/>
        <w:bottom w:val="none" w:sz="0" w:space="0" w:color="auto"/>
        <w:right w:val="none" w:sz="0" w:space="0" w:color="auto"/>
      </w:divBdr>
    </w:div>
    <w:div w:id="1799840386">
      <w:bodyDiv w:val="1"/>
      <w:marLeft w:val="0"/>
      <w:marRight w:val="0"/>
      <w:marTop w:val="0"/>
      <w:marBottom w:val="0"/>
      <w:divBdr>
        <w:top w:val="none" w:sz="0" w:space="0" w:color="auto"/>
        <w:left w:val="none" w:sz="0" w:space="0" w:color="auto"/>
        <w:bottom w:val="none" w:sz="0" w:space="0" w:color="auto"/>
        <w:right w:val="none" w:sz="0" w:space="0" w:color="auto"/>
      </w:divBdr>
    </w:div>
    <w:div w:id="1805154902">
      <w:bodyDiv w:val="1"/>
      <w:marLeft w:val="0"/>
      <w:marRight w:val="0"/>
      <w:marTop w:val="0"/>
      <w:marBottom w:val="0"/>
      <w:divBdr>
        <w:top w:val="none" w:sz="0" w:space="0" w:color="auto"/>
        <w:left w:val="none" w:sz="0" w:space="0" w:color="auto"/>
        <w:bottom w:val="none" w:sz="0" w:space="0" w:color="auto"/>
        <w:right w:val="none" w:sz="0" w:space="0" w:color="auto"/>
      </w:divBdr>
    </w:div>
    <w:div w:id="1820608513">
      <w:bodyDiv w:val="1"/>
      <w:marLeft w:val="0"/>
      <w:marRight w:val="0"/>
      <w:marTop w:val="0"/>
      <w:marBottom w:val="0"/>
      <w:divBdr>
        <w:top w:val="none" w:sz="0" w:space="0" w:color="auto"/>
        <w:left w:val="none" w:sz="0" w:space="0" w:color="auto"/>
        <w:bottom w:val="none" w:sz="0" w:space="0" w:color="auto"/>
        <w:right w:val="none" w:sz="0" w:space="0" w:color="auto"/>
      </w:divBdr>
    </w:div>
    <w:div w:id="1823739578">
      <w:bodyDiv w:val="1"/>
      <w:marLeft w:val="0"/>
      <w:marRight w:val="0"/>
      <w:marTop w:val="0"/>
      <w:marBottom w:val="0"/>
      <w:divBdr>
        <w:top w:val="none" w:sz="0" w:space="0" w:color="auto"/>
        <w:left w:val="none" w:sz="0" w:space="0" w:color="auto"/>
        <w:bottom w:val="none" w:sz="0" w:space="0" w:color="auto"/>
        <w:right w:val="none" w:sz="0" w:space="0" w:color="auto"/>
      </w:divBdr>
    </w:div>
    <w:div w:id="1833717543">
      <w:bodyDiv w:val="1"/>
      <w:marLeft w:val="0"/>
      <w:marRight w:val="0"/>
      <w:marTop w:val="0"/>
      <w:marBottom w:val="0"/>
      <w:divBdr>
        <w:top w:val="none" w:sz="0" w:space="0" w:color="auto"/>
        <w:left w:val="none" w:sz="0" w:space="0" w:color="auto"/>
        <w:bottom w:val="none" w:sz="0" w:space="0" w:color="auto"/>
        <w:right w:val="none" w:sz="0" w:space="0" w:color="auto"/>
      </w:divBdr>
    </w:div>
    <w:div w:id="1836260496">
      <w:bodyDiv w:val="1"/>
      <w:marLeft w:val="0"/>
      <w:marRight w:val="0"/>
      <w:marTop w:val="0"/>
      <w:marBottom w:val="0"/>
      <w:divBdr>
        <w:top w:val="none" w:sz="0" w:space="0" w:color="auto"/>
        <w:left w:val="none" w:sz="0" w:space="0" w:color="auto"/>
        <w:bottom w:val="none" w:sz="0" w:space="0" w:color="auto"/>
        <w:right w:val="none" w:sz="0" w:space="0" w:color="auto"/>
      </w:divBdr>
    </w:div>
    <w:div w:id="1836453366">
      <w:bodyDiv w:val="1"/>
      <w:marLeft w:val="0"/>
      <w:marRight w:val="0"/>
      <w:marTop w:val="0"/>
      <w:marBottom w:val="0"/>
      <w:divBdr>
        <w:top w:val="none" w:sz="0" w:space="0" w:color="auto"/>
        <w:left w:val="none" w:sz="0" w:space="0" w:color="auto"/>
        <w:bottom w:val="none" w:sz="0" w:space="0" w:color="auto"/>
        <w:right w:val="none" w:sz="0" w:space="0" w:color="auto"/>
      </w:divBdr>
    </w:div>
    <w:div w:id="1839954859">
      <w:bodyDiv w:val="1"/>
      <w:marLeft w:val="0"/>
      <w:marRight w:val="0"/>
      <w:marTop w:val="0"/>
      <w:marBottom w:val="0"/>
      <w:divBdr>
        <w:top w:val="none" w:sz="0" w:space="0" w:color="auto"/>
        <w:left w:val="none" w:sz="0" w:space="0" w:color="auto"/>
        <w:bottom w:val="none" w:sz="0" w:space="0" w:color="auto"/>
        <w:right w:val="none" w:sz="0" w:space="0" w:color="auto"/>
      </w:divBdr>
    </w:div>
    <w:div w:id="1844709576">
      <w:bodyDiv w:val="1"/>
      <w:marLeft w:val="0"/>
      <w:marRight w:val="0"/>
      <w:marTop w:val="0"/>
      <w:marBottom w:val="0"/>
      <w:divBdr>
        <w:top w:val="none" w:sz="0" w:space="0" w:color="auto"/>
        <w:left w:val="none" w:sz="0" w:space="0" w:color="auto"/>
        <w:bottom w:val="none" w:sz="0" w:space="0" w:color="auto"/>
        <w:right w:val="none" w:sz="0" w:space="0" w:color="auto"/>
      </w:divBdr>
    </w:div>
    <w:div w:id="1845313685">
      <w:bodyDiv w:val="1"/>
      <w:marLeft w:val="0"/>
      <w:marRight w:val="0"/>
      <w:marTop w:val="0"/>
      <w:marBottom w:val="0"/>
      <w:divBdr>
        <w:top w:val="none" w:sz="0" w:space="0" w:color="auto"/>
        <w:left w:val="none" w:sz="0" w:space="0" w:color="auto"/>
        <w:bottom w:val="none" w:sz="0" w:space="0" w:color="auto"/>
        <w:right w:val="none" w:sz="0" w:space="0" w:color="auto"/>
      </w:divBdr>
    </w:div>
    <w:div w:id="1860773906">
      <w:bodyDiv w:val="1"/>
      <w:marLeft w:val="0"/>
      <w:marRight w:val="0"/>
      <w:marTop w:val="0"/>
      <w:marBottom w:val="0"/>
      <w:divBdr>
        <w:top w:val="none" w:sz="0" w:space="0" w:color="auto"/>
        <w:left w:val="none" w:sz="0" w:space="0" w:color="auto"/>
        <w:bottom w:val="none" w:sz="0" w:space="0" w:color="auto"/>
        <w:right w:val="none" w:sz="0" w:space="0" w:color="auto"/>
      </w:divBdr>
    </w:div>
    <w:div w:id="1861697947">
      <w:bodyDiv w:val="1"/>
      <w:marLeft w:val="0"/>
      <w:marRight w:val="0"/>
      <w:marTop w:val="0"/>
      <w:marBottom w:val="0"/>
      <w:divBdr>
        <w:top w:val="none" w:sz="0" w:space="0" w:color="auto"/>
        <w:left w:val="none" w:sz="0" w:space="0" w:color="auto"/>
        <w:bottom w:val="none" w:sz="0" w:space="0" w:color="auto"/>
        <w:right w:val="none" w:sz="0" w:space="0" w:color="auto"/>
      </w:divBdr>
    </w:div>
    <w:div w:id="1862431347">
      <w:bodyDiv w:val="1"/>
      <w:marLeft w:val="0"/>
      <w:marRight w:val="0"/>
      <w:marTop w:val="0"/>
      <w:marBottom w:val="0"/>
      <w:divBdr>
        <w:top w:val="none" w:sz="0" w:space="0" w:color="auto"/>
        <w:left w:val="none" w:sz="0" w:space="0" w:color="auto"/>
        <w:bottom w:val="none" w:sz="0" w:space="0" w:color="auto"/>
        <w:right w:val="none" w:sz="0" w:space="0" w:color="auto"/>
      </w:divBdr>
    </w:div>
    <w:div w:id="1862933371">
      <w:bodyDiv w:val="1"/>
      <w:marLeft w:val="0"/>
      <w:marRight w:val="0"/>
      <w:marTop w:val="0"/>
      <w:marBottom w:val="0"/>
      <w:divBdr>
        <w:top w:val="none" w:sz="0" w:space="0" w:color="auto"/>
        <w:left w:val="none" w:sz="0" w:space="0" w:color="auto"/>
        <w:bottom w:val="none" w:sz="0" w:space="0" w:color="auto"/>
        <w:right w:val="none" w:sz="0" w:space="0" w:color="auto"/>
      </w:divBdr>
    </w:div>
    <w:div w:id="1872573867">
      <w:bodyDiv w:val="1"/>
      <w:marLeft w:val="0"/>
      <w:marRight w:val="0"/>
      <w:marTop w:val="0"/>
      <w:marBottom w:val="0"/>
      <w:divBdr>
        <w:top w:val="none" w:sz="0" w:space="0" w:color="auto"/>
        <w:left w:val="none" w:sz="0" w:space="0" w:color="auto"/>
        <w:bottom w:val="none" w:sz="0" w:space="0" w:color="auto"/>
        <w:right w:val="none" w:sz="0" w:space="0" w:color="auto"/>
      </w:divBdr>
    </w:div>
    <w:div w:id="1880318477">
      <w:bodyDiv w:val="1"/>
      <w:marLeft w:val="0"/>
      <w:marRight w:val="0"/>
      <w:marTop w:val="0"/>
      <w:marBottom w:val="0"/>
      <w:divBdr>
        <w:top w:val="none" w:sz="0" w:space="0" w:color="auto"/>
        <w:left w:val="none" w:sz="0" w:space="0" w:color="auto"/>
        <w:bottom w:val="none" w:sz="0" w:space="0" w:color="auto"/>
        <w:right w:val="none" w:sz="0" w:space="0" w:color="auto"/>
      </w:divBdr>
    </w:div>
    <w:div w:id="1884247292">
      <w:bodyDiv w:val="1"/>
      <w:marLeft w:val="0"/>
      <w:marRight w:val="0"/>
      <w:marTop w:val="0"/>
      <w:marBottom w:val="0"/>
      <w:divBdr>
        <w:top w:val="none" w:sz="0" w:space="0" w:color="auto"/>
        <w:left w:val="none" w:sz="0" w:space="0" w:color="auto"/>
        <w:bottom w:val="none" w:sz="0" w:space="0" w:color="auto"/>
        <w:right w:val="none" w:sz="0" w:space="0" w:color="auto"/>
      </w:divBdr>
    </w:div>
    <w:div w:id="1902784591">
      <w:bodyDiv w:val="1"/>
      <w:marLeft w:val="0"/>
      <w:marRight w:val="0"/>
      <w:marTop w:val="0"/>
      <w:marBottom w:val="0"/>
      <w:divBdr>
        <w:top w:val="none" w:sz="0" w:space="0" w:color="auto"/>
        <w:left w:val="none" w:sz="0" w:space="0" w:color="auto"/>
        <w:bottom w:val="none" w:sz="0" w:space="0" w:color="auto"/>
        <w:right w:val="none" w:sz="0" w:space="0" w:color="auto"/>
      </w:divBdr>
    </w:div>
    <w:div w:id="1909149750">
      <w:bodyDiv w:val="1"/>
      <w:marLeft w:val="0"/>
      <w:marRight w:val="0"/>
      <w:marTop w:val="0"/>
      <w:marBottom w:val="0"/>
      <w:divBdr>
        <w:top w:val="none" w:sz="0" w:space="0" w:color="auto"/>
        <w:left w:val="none" w:sz="0" w:space="0" w:color="auto"/>
        <w:bottom w:val="none" w:sz="0" w:space="0" w:color="auto"/>
        <w:right w:val="none" w:sz="0" w:space="0" w:color="auto"/>
      </w:divBdr>
    </w:div>
    <w:div w:id="1921717494">
      <w:bodyDiv w:val="1"/>
      <w:marLeft w:val="0"/>
      <w:marRight w:val="0"/>
      <w:marTop w:val="0"/>
      <w:marBottom w:val="0"/>
      <w:divBdr>
        <w:top w:val="none" w:sz="0" w:space="0" w:color="auto"/>
        <w:left w:val="none" w:sz="0" w:space="0" w:color="auto"/>
        <w:bottom w:val="none" w:sz="0" w:space="0" w:color="auto"/>
        <w:right w:val="none" w:sz="0" w:space="0" w:color="auto"/>
      </w:divBdr>
    </w:div>
    <w:div w:id="1937639900">
      <w:bodyDiv w:val="1"/>
      <w:marLeft w:val="0"/>
      <w:marRight w:val="0"/>
      <w:marTop w:val="0"/>
      <w:marBottom w:val="0"/>
      <w:divBdr>
        <w:top w:val="none" w:sz="0" w:space="0" w:color="auto"/>
        <w:left w:val="none" w:sz="0" w:space="0" w:color="auto"/>
        <w:bottom w:val="none" w:sz="0" w:space="0" w:color="auto"/>
        <w:right w:val="none" w:sz="0" w:space="0" w:color="auto"/>
      </w:divBdr>
    </w:div>
    <w:div w:id="1940530199">
      <w:bodyDiv w:val="1"/>
      <w:marLeft w:val="0"/>
      <w:marRight w:val="0"/>
      <w:marTop w:val="0"/>
      <w:marBottom w:val="0"/>
      <w:divBdr>
        <w:top w:val="none" w:sz="0" w:space="0" w:color="auto"/>
        <w:left w:val="none" w:sz="0" w:space="0" w:color="auto"/>
        <w:bottom w:val="none" w:sz="0" w:space="0" w:color="auto"/>
        <w:right w:val="none" w:sz="0" w:space="0" w:color="auto"/>
      </w:divBdr>
    </w:div>
    <w:div w:id="1949309453">
      <w:bodyDiv w:val="1"/>
      <w:marLeft w:val="0"/>
      <w:marRight w:val="0"/>
      <w:marTop w:val="0"/>
      <w:marBottom w:val="0"/>
      <w:divBdr>
        <w:top w:val="none" w:sz="0" w:space="0" w:color="auto"/>
        <w:left w:val="none" w:sz="0" w:space="0" w:color="auto"/>
        <w:bottom w:val="none" w:sz="0" w:space="0" w:color="auto"/>
        <w:right w:val="none" w:sz="0" w:space="0" w:color="auto"/>
      </w:divBdr>
    </w:div>
    <w:div w:id="1951475930">
      <w:bodyDiv w:val="1"/>
      <w:marLeft w:val="0"/>
      <w:marRight w:val="0"/>
      <w:marTop w:val="0"/>
      <w:marBottom w:val="0"/>
      <w:divBdr>
        <w:top w:val="none" w:sz="0" w:space="0" w:color="auto"/>
        <w:left w:val="none" w:sz="0" w:space="0" w:color="auto"/>
        <w:bottom w:val="none" w:sz="0" w:space="0" w:color="auto"/>
        <w:right w:val="none" w:sz="0" w:space="0" w:color="auto"/>
      </w:divBdr>
    </w:div>
    <w:div w:id="1957442611">
      <w:bodyDiv w:val="1"/>
      <w:marLeft w:val="0"/>
      <w:marRight w:val="0"/>
      <w:marTop w:val="0"/>
      <w:marBottom w:val="0"/>
      <w:divBdr>
        <w:top w:val="none" w:sz="0" w:space="0" w:color="auto"/>
        <w:left w:val="none" w:sz="0" w:space="0" w:color="auto"/>
        <w:bottom w:val="none" w:sz="0" w:space="0" w:color="auto"/>
        <w:right w:val="none" w:sz="0" w:space="0" w:color="auto"/>
      </w:divBdr>
    </w:div>
    <w:div w:id="1966542973">
      <w:bodyDiv w:val="1"/>
      <w:marLeft w:val="0"/>
      <w:marRight w:val="0"/>
      <w:marTop w:val="0"/>
      <w:marBottom w:val="0"/>
      <w:divBdr>
        <w:top w:val="none" w:sz="0" w:space="0" w:color="auto"/>
        <w:left w:val="none" w:sz="0" w:space="0" w:color="auto"/>
        <w:bottom w:val="none" w:sz="0" w:space="0" w:color="auto"/>
        <w:right w:val="none" w:sz="0" w:space="0" w:color="auto"/>
      </w:divBdr>
    </w:div>
    <w:div w:id="1999839946">
      <w:bodyDiv w:val="1"/>
      <w:marLeft w:val="0"/>
      <w:marRight w:val="0"/>
      <w:marTop w:val="0"/>
      <w:marBottom w:val="0"/>
      <w:divBdr>
        <w:top w:val="none" w:sz="0" w:space="0" w:color="auto"/>
        <w:left w:val="none" w:sz="0" w:space="0" w:color="auto"/>
        <w:bottom w:val="none" w:sz="0" w:space="0" w:color="auto"/>
        <w:right w:val="none" w:sz="0" w:space="0" w:color="auto"/>
      </w:divBdr>
      <w:divsChild>
        <w:div w:id="940801249">
          <w:marLeft w:val="0"/>
          <w:marRight w:val="0"/>
          <w:marTop w:val="45"/>
          <w:marBottom w:val="180"/>
          <w:divBdr>
            <w:top w:val="single" w:sz="18" w:space="11" w:color="4E4E4E"/>
            <w:left w:val="none" w:sz="0" w:space="0" w:color="auto"/>
            <w:bottom w:val="none" w:sz="0" w:space="0" w:color="auto"/>
            <w:right w:val="none" w:sz="0" w:space="0" w:color="auto"/>
          </w:divBdr>
          <w:divsChild>
            <w:div w:id="1562718153">
              <w:marLeft w:val="150"/>
              <w:marRight w:val="0"/>
              <w:marTop w:val="0"/>
              <w:marBottom w:val="225"/>
              <w:divBdr>
                <w:top w:val="none" w:sz="0" w:space="0" w:color="auto"/>
                <w:left w:val="none" w:sz="0" w:space="0" w:color="auto"/>
                <w:bottom w:val="none" w:sz="0" w:space="0" w:color="auto"/>
                <w:right w:val="none" w:sz="0" w:space="0" w:color="auto"/>
              </w:divBdr>
              <w:divsChild>
                <w:div w:id="191138255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000839346">
      <w:bodyDiv w:val="1"/>
      <w:marLeft w:val="0"/>
      <w:marRight w:val="0"/>
      <w:marTop w:val="0"/>
      <w:marBottom w:val="0"/>
      <w:divBdr>
        <w:top w:val="none" w:sz="0" w:space="0" w:color="auto"/>
        <w:left w:val="none" w:sz="0" w:space="0" w:color="auto"/>
        <w:bottom w:val="none" w:sz="0" w:space="0" w:color="auto"/>
        <w:right w:val="none" w:sz="0" w:space="0" w:color="auto"/>
      </w:divBdr>
    </w:div>
    <w:div w:id="2008097854">
      <w:bodyDiv w:val="1"/>
      <w:marLeft w:val="0"/>
      <w:marRight w:val="0"/>
      <w:marTop w:val="0"/>
      <w:marBottom w:val="0"/>
      <w:divBdr>
        <w:top w:val="none" w:sz="0" w:space="0" w:color="auto"/>
        <w:left w:val="none" w:sz="0" w:space="0" w:color="auto"/>
        <w:bottom w:val="none" w:sz="0" w:space="0" w:color="auto"/>
        <w:right w:val="none" w:sz="0" w:space="0" w:color="auto"/>
      </w:divBdr>
    </w:div>
    <w:div w:id="2013218900">
      <w:bodyDiv w:val="1"/>
      <w:marLeft w:val="0"/>
      <w:marRight w:val="0"/>
      <w:marTop w:val="0"/>
      <w:marBottom w:val="0"/>
      <w:divBdr>
        <w:top w:val="none" w:sz="0" w:space="0" w:color="auto"/>
        <w:left w:val="none" w:sz="0" w:space="0" w:color="auto"/>
        <w:bottom w:val="none" w:sz="0" w:space="0" w:color="auto"/>
        <w:right w:val="none" w:sz="0" w:space="0" w:color="auto"/>
      </w:divBdr>
      <w:divsChild>
        <w:div w:id="873814686">
          <w:marLeft w:val="0"/>
          <w:marRight w:val="0"/>
          <w:marTop w:val="45"/>
          <w:marBottom w:val="180"/>
          <w:divBdr>
            <w:top w:val="single" w:sz="18" w:space="11" w:color="4E4E4E"/>
            <w:left w:val="none" w:sz="0" w:space="0" w:color="auto"/>
            <w:bottom w:val="none" w:sz="0" w:space="0" w:color="auto"/>
            <w:right w:val="none" w:sz="0" w:space="0" w:color="auto"/>
          </w:divBdr>
          <w:divsChild>
            <w:div w:id="2139764147">
              <w:marLeft w:val="150"/>
              <w:marRight w:val="0"/>
              <w:marTop w:val="0"/>
              <w:marBottom w:val="225"/>
              <w:divBdr>
                <w:top w:val="none" w:sz="0" w:space="0" w:color="auto"/>
                <w:left w:val="none" w:sz="0" w:space="0" w:color="auto"/>
                <w:bottom w:val="none" w:sz="0" w:space="0" w:color="auto"/>
                <w:right w:val="none" w:sz="0" w:space="0" w:color="auto"/>
              </w:divBdr>
              <w:divsChild>
                <w:div w:id="4838805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014256328">
      <w:bodyDiv w:val="1"/>
      <w:marLeft w:val="0"/>
      <w:marRight w:val="0"/>
      <w:marTop w:val="0"/>
      <w:marBottom w:val="0"/>
      <w:divBdr>
        <w:top w:val="none" w:sz="0" w:space="0" w:color="auto"/>
        <w:left w:val="none" w:sz="0" w:space="0" w:color="auto"/>
        <w:bottom w:val="none" w:sz="0" w:space="0" w:color="auto"/>
        <w:right w:val="none" w:sz="0" w:space="0" w:color="auto"/>
      </w:divBdr>
    </w:div>
    <w:div w:id="2019653167">
      <w:bodyDiv w:val="1"/>
      <w:marLeft w:val="0"/>
      <w:marRight w:val="0"/>
      <w:marTop w:val="0"/>
      <w:marBottom w:val="0"/>
      <w:divBdr>
        <w:top w:val="none" w:sz="0" w:space="0" w:color="auto"/>
        <w:left w:val="none" w:sz="0" w:space="0" w:color="auto"/>
        <w:bottom w:val="none" w:sz="0" w:space="0" w:color="auto"/>
        <w:right w:val="none" w:sz="0" w:space="0" w:color="auto"/>
      </w:divBdr>
    </w:div>
    <w:div w:id="2030987599">
      <w:bodyDiv w:val="1"/>
      <w:marLeft w:val="0"/>
      <w:marRight w:val="0"/>
      <w:marTop w:val="0"/>
      <w:marBottom w:val="0"/>
      <w:divBdr>
        <w:top w:val="none" w:sz="0" w:space="0" w:color="auto"/>
        <w:left w:val="none" w:sz="0" w:space="0" w:color="auto"/>
        <w:bottom w:val="none" w:sz="0" w:space="0" w:color="auto"/>
        <w:right w:val="none" w:sz="0" w:space="0" w:color="auto"/>
      </w:divBdr>
    </w:div>
    <w:div w:id="2033065983">
      <w:bodyDiv w:val="1"/>
      <w:marLeft w:val="0"/>
      <w:marRight w:val="0"/>
      <w:marTop w:val="0"/>
      <w:marBottom w:val="0"/>
      <w:divBdr>
        <w:top w:val="none" w:sz="0" w:space="0" w:color="auto"/>
        <w:left w:val="none" w:sz="0" w:space="0" w:color="auto"/>
        <w:bottom w:val="none" w:sz="0" w:space="0" w:color="auto"/>
        <w:right w:val="none" w:sz="0" w:space="0" w:color="auto"/>
      </w:divBdr>
    </w:div>
    <w:div w:id="2056541462">
      <w:bodyDiv w:val="1"/>
      <w:marLeft w:val="0"/>
      <w:marRight w:val="0"/>
      <w:marTop w:val="0"/>
      <w:marBottom w:val="0"/>
      <w:divBdr>
        <w:top w:val="none" w:sz="0" w:space="0" w:color="auto"/>
        <w:left w:val="none" w:sz="0" w:space="0" w:color="auto"/>
        <w:bottom w:val="none" w:sz="0" w:space="0" w:color="auto"/>
        <w:right w:val="none" w:sz="0" w:space="0" w:color="auto"/>
      </w:divBdr>
    </w:div>
    <w:div w:id="2065448189">
      <w:bodyDiv w:val="1"/>
      <w:marLeft w:val="0"/>
      <w:marRight w:val="0"/>
      <w:marTop w:val="0"/>
      <w:marBottom w:val="0"/>
      <w:divBdr>
        <w:top w:val="none" w:sz="0" w:space="0" w:color="auto"/>
        <w:left w:val="none" w:sz="0" w:space="0" w:color="auto"/>
        <w:bottom w:val="none" w:sz="0" w:space="0" w:color="auto"/>
        <w:right w:val="none" w:sz="0" w:space="0" w:color="auto"/>
      </w:divBdr>
    </w:div>
    <w:div w:id="2066220657">
      <w:bodyDiv w:val="1"/>
      <w:marLeft w:val="0"/>
      <w:marRight w:val="0"/>
      <w:marTop w:val="0"/>
      <w:marBottom w:val="0"/>
      <w:divBdr>
        <w:top w:val="none" w:sz="0" w:space="0" w:color="auto"/>
        <w:left w:val="none" w:sz="0" w:space="0" w:color="auto"/>
        <w:bottom w:val="none" w:sz="0" w:space="0" w:color="auto"/>
        <w:right w:val="none" w:sz="0" w:space="0" w:color="auto"/>
      </w:divBdr>
    </w:div>
    <w:div w:id="2069182057">
      <w:bodyDiv w:val="1"/>
      <w:marLeft w:val="0"/>
      <w:marRight w:val="0"/>
      <w:marTop w:val="0"/>
      <w:marBottom w:val="0"/>
      <w:divBdr>
        <w:top w:val="none" w:sz="0" w:space="0" w:color="auto"/>
        <w:left w:val="none" w:sz="0" w:space="0" w:color="auto"/>
        <w:bottom w:val="none" w:sz="0" w:space="0" w:color="auto"/>
        <w:right w:val="none" w:sz="0" w:space="0" w:color="auto"/>
      </w:divBdr>
    </w:div>
    <w:div w:id="2073845190">
      <w:bodyDiv w:val="1"/>
      <w:marLeft w:val="0"/>
      <w:marRight w:val="0"/>
      <w:marTop w:val="0"/>
      <w:marBottom w:val="0"/>
      <w:divBdr>
        <w:top w:val="none" w:sz="0" w:space="0" w:color="auto"/>
        <w:left w:val="none" w:sz="0" w:space="0" w:color="auto"/>
        <w:bottom w:val="none" w:sz="0" w:space="0" w:color="auto"/>
        <w:right w:val="none" w:sz="0" w:space="0" w:color="auto"/>
      </w:divBdr>
    </w:div>
    <w:div w:id="2092970894">
      <w:bodyDiv w:val="1"/>
      <w:marLeft w:val="0"/>
      <w:marRight w:val="0"/>
      <w:marTop w:val="0"/>
      <w:marBottom w:val="0"/>
      <w:divBdr>
        <w:top w:val="none" w:sz="0" w:space="0" w:color="auto"/>
        <w:left w:val="none" w:sz="0" w:space="0" w:color="auto"/>
        <w:bottom w:val="none" w:sz="0" w:space="0" w:color="auto"/>
        <w:right w:val="none" w:sz="0" w:space="0" w:color="auto"/>
      </w:divBdr>
    </w:div>
    <w:div w:id="2109764469">
      <w:bodyDiv w:val="1"/>
      <w:marLeft w:val="0"/>
      <w:marRight w:val="0"/>
      <w:marTop w:val="0"/>
      <w:marBottom w:val="0"/>
      <w:divBdr>
        <w:top w:val="none" w:sz="0" w:space="0" w:color="auto"/>
        <w:left w:val="none" w:sz="0" w:space="0" w:color="auto"/>
        <w:bottom w:val="none" w:sz="0" w:space="0" w:color="auto"/>
        <w:right w:val="none" w:sz="0" w:space="0" w:color="auto"/>
      </w:divBdr>
    </w:div>
    <w:div w:id="2120026997">
      <w:bodyDiv w:val="1"/>
      <w:marLeft w:val="0"/>
      <w:marRight w:val="0"/>
      <w:marTop w:val="0"/>
      <w:marBottom w:val="0"/>
      <w:divBdr>
        <w:top w:val="none" w:sz="0" w:space="0" w:color="auto"/>
        <w:left w:val="none" w:sz="0" w:space="0" w:color="auto"/>
        <w:bottom w:val="none" w:sz="0" w:space="0" w:color="auto"/>
        <w:right w:val="none" w:sz="0" w:space="0" w:color="auto"/>
      </w:divBdr>
    </w:div>
    <w:div w:id="2125074429">
      <w:bodyDiv w:val="1"/>
      <w:marLeft w:val="0"/>
      <w:marRight w:val="0"/>
      <w:marTop w:val="0"/>
      <w:marBottom w:val="0"/>
      <w:divBdr>
        <w:top w:val="none" w:sz="0" w:space="0" w:color="auto"/>
        <w:left w:val="none" w:sz="0" w:space="0" w:color="auto"/>
        <w:bottom w:val="none" w:sz="0" w:space="0" w:color="auto"/>
        <w:right w:val="none" w:sz="0" w:space="0" w:color="auto"/>
      </w:divBdr>
    </w:div>
    <w:div w:id="2132090764">
      <w:bodyDiv w:val="1"/>
      <w:marLeft w:val="0"/>
      <w:marRight w:val="0"/>
      <w:marTop w:val="0"/>
      <w:marBottom w:val="0"/>
      <w:divBdr>
        <w:top w:val="none" w:sz="0" w:space="0" w:color="auto"/>
        <w:left w:val="none" w:sz="0" w:space="0" w:color="auto"/>
        <w:bottom w:val="none" w:sz="0" w:space="0" w:color="auto"/>
        <w:right w:val="none" w:sz="0" w:space="0" w:color="auto"/>
      </w:divBdr>
    </w:div>
    <w:div w:id="2134588628">
      <w:bodyDiv w:val="1"/>
      <w:marLeft w:val="0"/>
      <w:marRight w:val="0"/>
      <w:marTop w:val="0"/>
      <w:marBottom w:val="0"/>
      <w:divBdr>
        <w:top w:val="none" w:sz="0" w:space="0" w:color="auto"/>
        <w:left w:val="none" w:sz="0" w:space="0" w:color="auto"/>
        <w:bottom w:val="none" w:sz="0" w:space="0" w:color="auto"/>
        <w:right w:val="none" w:sz="0" w:space="0" w:color="auto"/>
      </w:divBdr>
    </w:div>
    <w:div w:id="2135050332">
      <w:bodyDiv w:val="1"/>
      <w:marLeft w:val="0"/>
      <w:marRight w:val="0"/>
      <w:marTop w:val="0"/>
      <w:marBottom w:val="0"/>
      <w:divBdr>
        <w:top w:val="none" w:sz="0" w:space="0" w:color="auto"/>
        <w:left w:val="none" w:sz="0" w:space="0" w:color="auto"/>
        <w:bottom w:val="none" w:sz="0" w:space="0" w:color="auto"/>
        <w:right w:val="none" w:sz="0" w:space="0" w:color="auto"/>
      </w:divBdr>
    </w:div>
    <w:div w:id="2142384960">
      <w:bodyDiv w:val="1"/>
      <w:marLeft w:val="0"/>
      <w:marRight w:val="0"/>
      <w:marTop w:val="0"/>
      <w:marBottom w:val="0"/>
      <w:divBdr>
        <w:top w:val="none" w:sz="0" w:space="0" w:color="auto"/>
        <w:left w:val="none" w:sz="0" w:space="0" w:color="auto"/>
        <w:bottom w:val="none" w:sz="0" w:space="0" w:color="auto"/>
        <w:right w:val="none" w:sz="0" w:space="0" w:color="auto"/>
      </w:divBdr>
    </w:div>
    <w:div w:id="214711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frc.org.uk/auditscopeukprivate"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Accounts\accoun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234D1-60EA-4C25-9703-BD7A25BB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accounts</Template>
  <TotalTime>0</TotalTime>
  <Pages>20</Pages>
  <Words>5939</Words>
  <Characters>33854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Sets of accounts</vt:lpstr>
    </vt:vector>
  </TitlesOfParts>
  <Company>KPMG UK LLP</Company>
  <LinksUpToDate>false</LinksUpToDate>
  <CharactersWithSpaces>39714</CharactersWithSpaces>
  <SharedDoc>false</SharedDoc>
  <HLinks>
    <vt:vector size="6" baseType="variant">
      <vt:variant>
        <vt:i4>131156</vt:i4>
      </vt:variant>
      <vt:variant>
        <vt:i4>0</vt:i4>
      </vt:variant>
      <vt:variant>
        <vt:i4>0</vt:i4>
      </vt:variant>
      <vt:variant>
        <vt:i4>5</vt:i4>
      </vt:variant>
      <vt:variant>
        <vt:lpwstr>http://www.frc.org.uk/auditscopeukprivate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8.2 - Draft Final Accounts 2017-18</dc:title>
  <dc:creator>normanmoltu</dc:creator>
  <cp:lastModifiedBy>System Administrator</cp:lastModifiedBy>
  <cp:revision>2</cp:revision>
  <cp:lastPrinted>2018-07-06T14:41:00Z</cp:lastPrinted>
  <dcterms:created xsi:type="dcterms:W3CDTF">2018-09-07T11:25:00Z</dcterms:created>
  <dcterms:modified xsi:type="dcterms:W3CDTF">2020-07-28T14:18:27Z</dcterms:modified>
  <cp:keywords>
  </cp:keywords>
  <dc:subject>
  </dc:subject>
</cp:coreProperties>
</file>